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BDB22" w14:textId="77777777" w:rsidR="00E407C2" w:rsidRDefault="00E407C2" w:rsidP="00E407C2">
      <w:pPr>
        <w:rPr>
          <w:b/>
        </w:rPr>
      </w:pPr>
    </w:p>
    <w:p w14:paraId="5BFDB88B" w14:textId="61FE8D4A" w:rsidR="00330B96" w:rsidRDefault="004918E4" w:rsidP="004918E4">
      <w:pPr>
        <w:jc w:val="center"/>
        <w:rPr>
          <w:rFonts w:ascii="Verdana" w:eastAsia="Times New Roman" w:hAnsi="Verdana"/>
          <w:b/>
          <w:sz w:val="28"/>
        </w:rPr>
      </w:pPr>
      <w:r>
        <w:rPr>
          <w:rFonts w:ascii="Verdana" w:eastAsia="Times New Roman" w:hAnsi="Verdana"/>
          <w:b/>
          <w:sz w:val="28"/>
        </w:rPr>
        <w:t>RIVOLUX: SPECIALE CARTONGESSO</w:t>
      </w:r>
    </w:p>
    <w:p w14:paraId="6D78BD67" w14:textId="77777777" w:rsidR="00330B96" w:rsidRDefault="00330B96" w:rsidP="00E407C2">
      <w:pPr>
        <w:rPr>
          <w:rFonts w:ascii="Verdana" w:eastAsia="Times New Roman" w:hAnsi="Verdana"/>
          <w:b/>
          <w:sz w:val="28"/>
        </w:rPr>
      </w:pPr>
    </w:p>
    <w:p w14:paraId="3966724F" w14:textId="4941E662" w:rsidR="004918E4" w:rsidRDefault="004918E4" w:rsidP="00774752">
      <w:pPr>
        <w:jc w:val="center"/>
        <w:rPr>
          <w:rFonts w:ascii="Verdana" w:eastAsia="Times New Roman" w:hAnsi="Verdana"/>
          <w:b/>
          <w:sz w:val="22"/>
        </w:rPr>
      </w:pPr>
      <w:r>
        <w:rPr>
          <w:rFonts w:ascii="Verdana" w:eastAsia="Times New Roman" w:hAnsi="Verdana"/>
          <w:b/>
          <w:sz w:val="22"/>
        </w:rPr>
        <w:t>RIVOLUX ridefinisce il concetto di punto luce con una serie di soluzioni</w:t>
      </w:r>
      <w:r w:rsidR="00774752">
        <w:rPr>
          <w:rFonts w:ascii="Verdana" w:eastAsia="Times New Roman" w:hAnsi="Verdana"/>
          <w:b/>
          <w:sz w:val="22"/>
        </w:rPr>
        <w:t xml:space="preserve"> innovative, </w:t>
      </w:r>
      <w:r w:rsidR="00592910">
        <w:rPr>
          <w:rFonts w:ascii="Verdana" w:eastAsia="Times New Roman" w:hAnsi="Verdana"/>
          <w:b/>
          <w:sz w:val="22"/>
        </w:rPr>
        <w:t>in particolare</w:t>
      </w:r>
      <w:r w:rsidR="00774752">
        <w:rPr>
          <w:rFonts w:ascii="Verdana" w:eastAsia="Times New Roman" w:hAnsi="Verdana"/>
          <w:b/>
          <w:sz w:val="22"/>
        </w:rPr>
        <w:t xml:space="preserve"> </w:t>
      </w:r>
      <w:r>
        <w:rPr>
          <w:rFonts w:ascii="Verdana" w:eastAsia="Times New Roman" w:hAnsi="Verdana"/>
          <w:b/>
          <w:sz w:val="22"/>
        </w:rPr>
        <w:t>per le pareti in cartongesso e tramezze leggere.</w:t>
      </w:r>
    </w:p>
    <w:p w14:paraId="4F1233F7" w14:textId="77777777" w:rsidR="00330B96" w:rsidRDefault="00330B96" w:rsidP="00E407C2">
      <w:pPr>
        <w:rPr>
          <w:rFonts w:ascii="Verdana" w:eastAsia="Times New Roman" w:hAnsi="Verdana"/>
          <w:b/>
          <w:sz w:val="22"/>
        </w:rPr>
      </w:pPr>
    </w:p>
    <w:p w14:paraId="0028B78C" w14:textId="54C745FA" w:rsidR="00A512D7" w:rsidRPr="00906496" w:rsidRDefault="00774752" w:rsidP="00906496">
      <w:pPr>
        <w:jc w:val="both"/>
        <w:rPr>
          <w:rFonts w:ascii="Verdana" w:eastAsia="Times New Roman" w:hAnsi="Verdana"/>
          <w:sz w:val="20"/>
        </w:rPr>
      </w:pPr>
      <w:r w:rsidRPr="00AB60F0">
        <w:rPr>
          <w:rFonts w:ascii="Verdana" w:eastAsia="Times New Roman" w:hAnsi="Verdana"/>
          <w:sz w:val="20"/>
          <w:szCs w:val="20"/>
        </w:rPr>
        <w:t xml:space="preserve">RIVOLUX </w:t>
      </w:r>
      <w:r>
        <w:rPr>
          <w:rFonts w:ascii="Verdana" w:eastAsia="Times New Roman" w:hAnsi="Verdana"/>
          <w:sz w:val="20"/>
          <w:szCs w:val="20"/>
        </w:rPr>
        <w:t xml:space="preserve">è </w:t>
      </w:r>
      <w:r w:rsidR="00DA5DC9">
        <w:rPr>
          <w:rFonts w:ascii="Verdana" w:eastAsia="Times New Roman" w:hAnsi="Verdana"/>
          <w:sz w:val="20"/>
          <w:szCs w:val="20"/>
        </w:rPr>
        <w:t xml:space="preserve">infatti </w:t>
      </w:r>
      <w:r>
        <w:rPr>
          <w:rFonts w:ascii="Verdana" w:eastAsia="Times New Roman" w:hAnsi="Verdana"/>
          <w:sz w:val="20"/>
          <w:szCs w:val="20"/>
        </w:rPr>
        <w:t xml:space="preserve">stato </w:t>
      </w:r>
      <w:r w:rsidR="00DA5DC9">
        <w:rPr>
          <w:rFonts w:ascii="Verdana" w:eastAsia="Times New Roman" w:hAnsi="Verdana"/>
          <w:sz w:val="20"/>
          <w:szCs w:val="20"/>
        </w:rPr>
        <w:t>sviluppato</w:t>
      </w:r>
      <w:r>
        <w:rPr>
          <w:rFonts w:ascii="Verdana" w:eastAsia="Times New Roman" w:hAnsi="Verdana"/>
          <w:sz w:val="20"/>
          <w:szCs w:val="20"/>
        </w:rPr>
        <w:t xml:space="preserve"> per offrire</w:t>
      </w:r>
      <w:r w:rsidRPr="00AB60F0">
        <w:rPr>
          <w:rFonts w:ascii="Verdana" w:eastAsia="Times New Roman" w:hAnsi="Verdana"/>
          <w:sz w:val="20"/>
          <w:szCs w:val="20"/>
        </w:rPr>
        <w:t xml:space="preserve"> risposte razionali alle attuali esigenze di mercato</w:t>
      </w:r>
      <w:r w:rsidR="00DA5DC9">
        <w:rPr>
          <w:rFonts w:ascii="Verdana" w:eastAsia="Times New Roman" w:hAnsi="Verdana"/>
          <w:sz w:val="20"/>
          <w:szCs w:val="20"/>
        </w:rPr>
        <w:t>.</w:t>
      </w:r>
      <w:r w:rsidR="00906496">
        <w:rPr>
          <w:rFonts w:ascii="Verdana" w:eastAsia="Times New Roman" w:hAnsi="Verdana"/>
          <w:sz w:val="20"/>
        </w:rPr>
        <w:t xml:space="preserve"> </w:t>
      </w:r>
      <w:r w:rsidR="00032C85" w:rsidRPr="00036B82">
        <w:rPr>
          <w:rFonts w:ascii="Verdana" w:eastAsia="Times New Roman" w:hAnsi="Verdana"/>
          <w:sz w:val="20"/>
          <w:szCs w:val="20"/>
        </w:rPr>
        <w:t xml:space="preserve">Le scatole </w:t>
      </w:r>
      <w:r w:rsidR="00032C85" w:rsidRPr="00036B82">
        <w:rPr>
          <w:rFonts w:ascii="Verdana" w:eastAsia="Times New Roman" w:hAnsi="Verdana"/>
          <w:b/>
          <w:sz w:val="20"/>
          <w:szCs w:val="20"/>
        </w:rPr>
        <w:t xml:space="preserve">RIVOBOX </w:t>
      </w:r>
      <w:r w:rsidR="00032C85" w:rsidRPr="00036B82">
        <w:rPr>
          <w:rFonts w:ascii="Verdana" w:hAnsi="Verdana"/>
          <w:b/>
          <w:bCs/>
          <w:sz w:val="20"/>
          <w:szCs w:val="20"/>
        </w:rPr>
        <w:t>253X4CG</w:t>
      </w:r>
      <w:r w:rsidR="00032C85" w:rsidRPr="00036B82">
        <w:rPr>
          <w:rFonts w:ascii="Verdana" w:eastAsia="Times New Roman" w:hAnsi="Verdana"/>
          <w:sz w:val="20"/>
          <w:szCs w:val="20"/>
        </w:rPr>
        <w:t xml:space="preserve"> per pareti in cartongesso e tramezze leggere sono infatti </w:t>
      </w:r>
      <w:r w:rsidR="00032C85" w:rsidRPr="00036B82">
        <w:rPr>
          <w:rFonts w:ascii="Verdana" w:eastAsia="Times New Roman" w:hAnsi="Verdana"/>
          <w:b/>
          <w:sz w:val="20"/>
          <w:szCs w:val="20"/>
        </w:rPr>
        <w:t xml:space="preserve">le prime </w:t>
      </w:r>
      <w:r w:rsidR="00036B82" w:rsidRPr="00036B82">
        <w:rPr>
          <w:rFonts w:ascii="Verdana" w:hAnsi="Verdana"/>
          <w:b/>
          <w:bCs/>
          <w:color w:val="000000" w:themeColor="text1"/>
          <w:sz w:val="20"/>
          <w:szCs w:val="20"/>
        </w:rPr>
        <w:t>scatole da incasso da 3 o 4 moduli</w:t>
      </w:r>
      <w:r w:rsidR="00036B82" w:rsidRPr="00036B82">
        <w:rPr>
          <w:rFonts w:ascii="Verdana" w:hAnsi="Verdana"/>
          <w:b/>
          <w:bCs/>
          <w:i/>
          <w:color w:val="000000" w:themeColor="text1"/>
          <w:sz w:val="20"/>
          <w:szCs w:val="20"/>
        </w:rPr>
        <w:t xml:space="preserve"> </w:t>
      </w:r>
      <w:r w:rsidR="00032C85" w:rsidRPr="00036B82">
        <w:rPr>
          <w:rFonts w:ascii="Verdana" w:hAnsi="Verdana"/>
          <w:bCs/>
          <w:sz w:val="20"/>
          <w:szCs w:val="20"/>
        </w:rPr>
        <w:t>che</w:t>
      </w:r>
      <w:r w:rsidR="00032C85" w:rsidRPr="00036B82">
        <w:rPr>
          <w:rFonts w:ascii="Verdana" w:hAnsi="Verdana"/>
          <w:bCs/>
          <w:sz w:val="20"/>
          <w:szCs w:val="22"/>
        </w:rPr>
        <w:t xml:space="preserve"> consentono di accogliere</w:t>
      </w:r>
      <w:r w:rsidR="00036B82" w:rsidRPr="00036B82">
        <w:rPr>
          <w:rFonts w:ascii="Verdana" w:hAnsi="Verdana"/>
          <w:bCs/>
          <w:sz w:val="20"/>
          <w:szCs w:val="22"/>
        </w:rPr>
        <w:t xml:space="preserve"> i</w:t>
      </w:r>
      <w:r w:rsidR="00036B82">
        <w:rPr>
          <w:rFonts w:ascii="Verdana" w:hAnsi="Verdana"/>
          <w:b/>
          <w:bCs/>
          <w:sz w:val="20"/>
          <w:szCs w:val="22"/>
        </w:rPr>
        <w:t xml:space="preserve"> </w:t>
      </w:r>
      <w:r w:rsidR="00036B82" w:rsidRPr="00595070">
        <w:rPr>
          <w:rFonts w:ascii="Verdana" w:hAnsi="Verdana"/>
          <w:color w:val="000000" w:themeColor="text1"/>
          <w:sz w:val="20"/>
        </w:rPr>
        <w:t xml:space="preserve">supporti, </w:t>
      </w:r>
      <w:r w:rsidR="00036B82">
        <w:rPr>
          <w:rFonts w:ascii="Verdana" w:hAnsi="Verdana"/>
          <w:color w:val="000000" w:themeColor="text1"/>
          <w:sz w:val="20"/>
        </w:rPr>
        <w:t>i</w:t>
      </w:r>
      <w:r w:rsidR="00036B82" w:rsidRPr="00595070">
        <w:rPr>
          <w:rFonts w:ascii="Verdana" w:hAnsi="Verdana"/>
          <w:color w:val="000000" w:themeColor="text1"/>
          <w:sz w:val="20"/>
        </w:rPr>
        <w:t xml:space="preserve"> frutti e le relative placche </w:t>
      </w:r>
      <w:r w:rsidR="00906496">
        <w:rPr>
          <w:rFonts w:ascii="Verdana" w:hAnsi="Verdana"/>
          <w:color w:val="000000" w:themeColor="text1"/>
          <w:sz w:val="20"/>
        </w:rPr>
        <w:t>(</w:t>
      </w:r>
      <w:r w:rsidR="00036B82" w:rsidRPr="00595070">
        <w:rPr>
          <w:rFonts w:ascii="Verdana" w:hAnsi="Verdana"/>
          <w:color w:val="000000" w:themeColor="text1"/>
          <w:sz w:val="20"/>
        </w:rPr>
        <w:t>da 3 o da 4 moduli</w:t>
      </w:r>
      <w:r w:rsidR="00906496">
        <w:rPr>
          <w:rFonts w:ascii="Verdana" w:hAnsi="Verdana"/>
          <w:color w:val="000000" w:themeColor="text1"/>
          <w:sz w:val="20"/>
        </w:rPr>
        <w:t>)</w:t>
      </w:r>
      <w:r w:rsidR="00036B82" w:rsidRPr="00595070">
        <w:rPr>
          <w:rFonts w:ascii="Verdana" w:hAnsi="Verdana"/>
          <w:color w:val="000000" w:themeColor="text1"/>
          <w:sz w:val="20"/>
        </w:rPr>
        <w:t xml:space="preserve"> di tutte le principali serie civili</w:t>
      </w:r>
      <w:r w:rsidR="00036B82">
        <w:rPr>
          <w:rFonts w:ascii="Verdana" w:hAnsi="Verdana"/>
          <w:color w:val="000000" w:themeColor="text1"/>
          <w:sz w:val="20"/>
        </w:rPr>
        <w:t xml:space="preserve">. </w:t>
      </w:r>
      <w:r w:rsidR="009F1D6A">
        <w:rPr>
          <w:rFonts w:ascii="Verdana" w:hAnsi="Verdana"/>
          <w:color w:val="000000" w:themeColor="text1"/>
          <w:sz w:val="20"/>
        </w:rPr>
        <w:t>É sufficiente</w:t>
      </w:r>
      <w:r w:rsidR="005B44C3">
        <w:rPr>
          <w:rFonts w:ascii="Verdana" w:hAnsi="Verdana"/>
          <w:color w:val="000000" w:themeColor="text1"/>
          <w:sz w:val="20"/>
        </w:rPr>
        <w:t xml:space="preserve"> </w:t>
      </w:r>
      <w:r w:rsidR="009F1D6A" w:rsidRPr="00595070">
        <w:rPr>
          <w:rFonts w:ascii="Verdana" w:hAnsi="Verdana"/>
          <w:color w:val="000000" w:themeColor="text1"/>
          <w:sz w:val="20"/>
        </w:rPr>
        <w:t xml:space="preserve">asportare </w:t>
      </w:r>
      <w:r w:rsidR="009F1D6A" w:rsidRPr="00595070">
        <w:rPr>
          <w:rFonts w:ascii="Verdana" w:hAnsi="Verdana"/>
          <w:bCs/>
          <w:color w:val="000000" w:themeColor="text1"/>
          <w:sz w:val="20"/>
          <w:szCs w:val="22"/>
        </w:rPr>
        <w:t xml:space="preserve">il tappo plastico “anti-malta” posto sull’occhiello metallico e piegare </w:t>
      </w:r>
      <w:r w:rsidR="009F1D6A">
        <w:rPr>
          <w:rFonts w:ascii="Verdana" w:hAnsi="Verdana"/>
          <w:bCs/>
          <w:color w:val="000000" w:themeColor="text1"/>
          <w:sz w:val="20"/>
          <w:szCs w:val="22"/>
        </w:rPr>
        <w:t>le alette metalliche ideate e brevettate da AVE</w:t>
      </w:r>
      <w:r w:rsidR="00592910">
        <w:rPr>
          <w:rFonts w:ascii="Verdana" w:eastAsia="Times New Roman" w:hAnsi="Verdana"/>
          <w:sz w:val="20"/>
          <w:szCs w:val="20"/>
        </w:rPr>
        <w:t xml:space="preserve"> </w:t>
      </w:r>
      <w:r w:rsidR="005B44C3">
        <w:rPr>
          <w:rFonts w:ascii="Verdana" w:hAnsi="Verdana"/>
          <w:color w:val="000000" w:themeColor="text1"/>
          <w:sz w:val="20"/>
        </w:rPr>
        <w:t xml:space="preserve">per </w:t>
      </w:r>
      <w:r w:rsidR="005B44C3">
        <w:rPr>
          <w:rFonts w:ascii="Verdana" w:hAnsi="Verdana"/>
          <w:bCs/>
          <w:color w:val="000000" w:themeColor="text1"/>
          <w:sz w:val="20"/>
          <w:szCs w:val="22"/>
        </w:rPr>
        <w:t xml:space="preserve">aumentare l’interasse delle viti </w:t>
      </w:r>
      <w:r w:rsidR="005B44C3" w:rsidRPr="00595070">
        <w:rPr>
          <w:rFonts w:ascii="Verdana" w:hAnsi="Verdana"/>
          <w:bCs/>
          <w:color w:val="000000" w:themeColor="text1"/>
          <w:sz w:val="20"/>
          <w:szCs w:val="22"/>
        </w:rPr>
        <w:t xml:space="preserve">da 83,5 mm a 108,5 mm e </w:t>
      </w:r>
      <w:r w:rsidR="005B44C3" w:rsidRPr="00032C85">
        <w:rPr>
          <w:rFonts w:ascii="Verdana" w:hAnsi="Verdana"/>
          <w:bCs/>
          <w:color w:val="000000" w:themeColor="text1"/>
          <w:sz w:val="20"/>
          <w:szCs w:val="22"/>
        </w:rPr>
        <w:t xml:space="preserve">trasformare </w:t>
      </w:r>
      <w:r w:rsidR="009F1D6A" w:rsidRPr="00032C85">
        <w:rPr>
          <w:rFonts w:ascii="Verdana" w:hAnsi="Verdana"/>
          <w:bCs/>
          <w:color w:val="000000" w:themeColor="text1"/>
          <w:sz w:val="20"/>
          <w:szCs w:val="22"/>
        </w:rPr>
        <w:t xml:space="preserve">così </w:t>
      </w:r>
      <w:r w:rsidR="005B44C3" w:rsidRPr="00032C85">
        <w:rPr>
          <w:rFonts w:ascii="Verdana" w:hAnsi="Verdana"/>
          <w:bCs/>
          <w:color w:val="000000" w:themeColor="text1"/>
          <w:sz w:val="20"/>
          <w:szCs w:val="22"/>
        </w:rPr>
        <w:t>un punto luce da 3 moduli in uno da 4</w:t>
      </w:r>
      <w:r w:rsidR="00036B82">
        <w:rPr>
          <w:rFonts w:ascii="Verdana" w:hAnsi="Verdana"/>
          <w:bCs/>
          <w:color w:val="000000" w:themeColor="text1"/>
          <w:sz w:val="20"/>
          <w:szCs w:val="22"/>
        </w:rPr>
        <w:t xml:space="preserve">. </w:t>
      </w:r>
      <w:r w:rsidR="00E92110">
        <w:rPr>
          <w:rFonts w:ascii="Verdana" w:hAnsi="Verdana"/>
          <w:color w:val="000000" w:themeColor="text1"/>
          <w:sz w:val="20"/>
        </w:rPr>
        <w:t>Risultato: m</w:t>
      </w:r>
      <w:r w:rsidR="000929B5">
        <w:rPr>
          <w:rFonts w:ascii="Verdana" w:hAnsi="Verdana"/>
          <w:color w:val="000000" w:themeColor="text1"/>
          <w:sz w:val="20"/>
        </w:rPr>
        <w:t xml:space="preserve">assima flessibilità, </w:t>
      </w:r>
      <w:r w:rsidR="005B44C3" w:rsidRPr="00595070">
        <w:rPr>
          <w:rFonts w:ascii="Verdana" w:hAnsi="Verdana"/>
          <w:bCs/>
          <w:color w:val="000000" w:themeColor="text1"/>
          <w:sz w:val="20"/>
          <w:szCs w:val="22"/>
        </w:rPr>
        <w:t>senza costi aggiuntivi e senza opere murarie.</w:t>
      </w:r>
      <w:r w:rsidR="005B44C3">
        <w:rPr>
          <w:rFonts w:ascii="Verdana" w:hAnsi="Verdana"/>
          <w:bCs/>
          <w:color w:val="000000" w:themeColor="text1"/>
          <w:sz w:val="20"/>
          <w:szCs w:val="22"/>
        </w:rPr>
        <w:t xml:space="preserve"> </w:t>
      </w:r>
    </w:p>
    <w:p w14:paraId="2FFFE59D" w14:textId="77777777" w:rsidR="00A512D7" w:rsidRDefault="00A512D7" w:rsidP="009F1D6A">
      <w:pPr>
        <w:autoSpaceDE w:val="0"/>
        <w:jc w:val="both"/>
        <w:rPr>
          <w:rFonts w:ascii="Verdana" w:hAnsi="Verdana"/>
          <w:bCs/>
          <w:color w:val="000000" w:themeColor="text1"/>
          <w:sz w:val="20"/>
          <w:szCs w:val="22"/>
        </w:rPr>
      </w:pPr>
    </w:p>
    <w:p w14:paraId="49BC8218" w14:textId="178D7BBD" w:rsidR="00A512D7" w:rsidRPr="00032C85" w:rsidRDefault="00032C85" w:rsidP="00A512D7">
      <w:pPr>
        <w:autoSpaceDE w:val="0"/>
        <w:jc w:val="both"/>
        <w:rPr>
          <w:rFonts w:ascii="Verdana" w:hAnsi="Verdana"/>
          <w:color w:val="000000" w:themeColor="text1"/>
          <w:sz w:val="20"/>
        </w:rPr>
      </w:pPr>
      <w:r w:rsidRPr="0086495F">
        <w:rPr>
          <w:rFonts w:ascii="Verdana" w:eastAsia="Times New Roman" w:hAnsi="Verdana"/>
          <w:b/>
          <w:sz w:val="20"/>
          <w:szCs w:val="20"/>
        </w:rPr>
        <w:t>Grazie alle</w:t>
      </w:r>
      <w:r>
        <w:rPr>
          <w:rFonts w:ascii="Verdana" w:eastAsia="Times New Roman" w:hAnsi="Verdana"/>
          <w:sz w:val="20"/>
          <w:szCs w:val="20"/>
        </w:rPr>
        <w:t xml:space="preserve"> </w:t>
      </w:r>
      <w:r w:rsidRPr="00592910">
        <w:rPr>
          <w:rFonts w:ascii="Verdana" w:eastAsia="Times New Roman" w:hAnsi="Verdana"/>
          <w:b/>
          <w:sz w:val="20"/>
          <w:szCs w:val="20"/>
        </w:rPr>
        <w:t>scatole RIVOBOX</w:t>
      </w:r>
      <w:r>
        <w:rPr>
          <w:rFonts w:ascii="Verdana" w:hAnsi="Verdana"/>
          <w:color w:val="000000" w:themeColor="text1"/>
          <w:sz w:val="20"/>
        </w:rPr>
        <w:t xml:space="preserve"> </w:t>
      </w:r>
      <w:r w:rsidRPr="00592910">
        <w:rPr>
          <w:rFonts w:ascii="Verdana" w:hAnsi="Verdana"/>
          <w:b/>
          <w:color w:val="000000" w:themeColor="text1"/>
          <w:sz w:val="20"/>
        </w:rPr>
        <w:t>l’installazione diventa veramente rapida.</w:t>
      </w:r>
      <w:r>
        <w:rPr>
          <w:rFonts w:ascii="Verdana" w:hAnsi="Verdana"/>
          <w:color w:val="000000" w:themeColor="text1"/>
          <w:sz w:val="20"/>
        </w:rPr>
        <w:t xml:space="preserve"> </w:t>
      </w:r>
      <w:r w:rsidR="00A512D7" w:rsidRPr="00036B82">
        <w:rPr>
          <w:rFonts w:ascii="Verdana" w:hAnsi="Verdana"/>
          <w:bCs/>
          <w:sz w:val="20"/>
          <w:szCs w:val="22"/>
        </w:rPr>
        <w:t>Le alette plastiche laterali</w:t>
      </w:r>
      <w:r w:rsidR="00A512D7" w:rsidRPr="00A512D7">
        <w:rPr>
          <w:rFonts w:ascii="Verdana" w:hAnsi="Verdana"/>
          <w:bCs/>
          <w:sz w:val="20"/>
          <w:szCs w:val="22"/>
        </w:rPr>
        <w:t xml:space="preserve"> per il fissaggio alla parete </w:t>
      </w:r>
      <w:r w:rsidR="00A512D7">
        <w:rPr>
          <w:rFonts w:ascii="Verdana" w:hAnsi="Verdana"/>
          <w:bCs/>
          <w:sz w:val="20"/>
          <w:szCs w:val="22"/>
        </w:rPr>
        <w:t>permettono</w:t>
      </w:r>
      <w:r w:rsidR="00A512D7" w:rsidRPr="00A512D7">
        <w:rPr>
          <w:rFonts w:ascii="Verdana" w:hAnsi="Verdana"/>
          <w:bCs/>
          <w:sz w:val="20"/>
          <w:szCs w:val="22"/>
        </w:rPr>
        <w:t xml:space="preserve"> di applicare la scatola da entrambi i lati della lastra, </w:t>
      </w:r>
      <w:r w:rsidR="00A512D7" w:rsidRPr="00036B82">
        <w:rPr>
          <w:rFonts w:ascii="Verdana" w:hAnsi="Verdana"/>
          <w:bCs/>
          <w:sz w:val="20"/>
          <w:szCs w:val="22"/>
        </w:rPr>
        <w:t>dimezzando in questo modo i tempi di applicazione</w:t>
      </w:r>
      <w:r w:rsidR="00A512D7" w:rsidRPr="00A512D7">
        <w:rPr>
          <w:rFonts w:ascii="Verdana" w:hAnsi="Verdana"/>
          <w:bCs/>
          <w:sz w:val="20"/>
          <w:szCs w:val="22"/>
        </w:rPr>
        <w:t xml:space="preserve"> in cantiere. Queste alette sono dotate di fori a nido d’ape che </w:t>
      </w:r>
      <w:r w:rsidR="00A512D7">
        <w:rPr>
          <w:rFonts w:ascii="Verdana" w:hAnsi="Verdana"/>
          <w:bCs/>
          <w:sz w:val="20"/>
          <w:szCs w:val="22"/>
        </w:rPr>
        <w:t xml:space="preserve">agevolano l’inserimento delle viti, </w:t>
      </w:r>
      <w:r w:rsidR="00A512D7" w:rsidRPr="00A512D7">
        <w:rPr>
          <w:rFonts w:ascii="Verdana" w:hAnsi="Verdana"/>
          <w:bCs/>
          <w:sz w:val="20"/>
          <w:szCs w:val="22"/>
        </w:rPr>
        <w:t>assicuran</w:t>
      </w:r>
      <w:r w:rsidR="00A512D7">
        <w:rPr>
          <w:rFonts w:ascii="Verdana" w:hAnsi="Verdana"/>
          <w:bCs/>
          <w:sz w:val="20"/>
          <w:szCs w:val="22"/>
        </w:rPr>
        <w:t>d</w:t>
      </w:r>
      <w:r w:rsidR="00A512D7" w:rsidRPr="00A512D7">
        <w:rPr>
          <w:rFonts w:ascii="Verdana" w:hAnsi="Verdana"/>
          <w:bCs/>
          <w:sz w:val="20"/>
          <w:szCs w:val="22"/>
        </w:rPr>
        <w:t xml:space="preserve">o una </w:t>
      </w:r>
      <w:r w:rsidR="00A512D7" w:rsidRPr="00A512D7">
        <w:rPr>
          <w:rFonts w:ascii="Verdana" w:hAnsi="Verdana"/>
          <w:b/>
          <w:bCs/>
          <w:sz w:val="20"/>
          <w:szCs w:val="22"/>
        </w:rPr>
        <w:t>maggior tenuta di fissaggio</w:t>
      </w:r>
      <w:r w:rsidR="00A512D7" w:rsidRPr="00A512D7">
        <w:rPr>
          <w:rFonts w:ascii="Verdana" w:hAnsi="Verdana"/>
          <w:bCs/>
          <w:sz w:val="20"/>
          <w:szCs w:val="22"/>
        </w:rPr>
        <w:t xml:space="preserve"> al tramezzo </w:t>
      </w:r>
      <w:r w:rsidR="00A512D7">
        <w:rPr>
          <w:rFonts w:ascii="Verdana" w:hAnsi="Verdana"/>
          <w:bCs/>
          <w:sz w:val="20"/>
          <w:szCs w:val="22"/>
        </w:rPr>
        <w:t xml:space="preserve">ed </w:t>
      </w:r>
      <w:r w:rsidR="00A512D7" w:rsidRPr="00A512D7">
        <w:rPr>
          <w:rFonts w:ascii="Verdana" w:hAnsi="Verdana"/>
          <w:bCs/>
          <w:sz w:val="20"/>
          <w:szCs w:val="22"/>
        </w:rPr>
        <w:t xml:space="preserve">eliminando la necessità e i costi d’acquisto di colle, stucchi e schiume poliuretaniche. </w:t>
      </w:r>
      <w:r w:rsidR="00A512D7">
        <w:rPr>
          <w:rFonts w:ascii="Verdana" w:hAnsi="Verdana"/>
          <w:bCs/>
          <w:sz w:val="20"/>
          <w:szCs w:val="22"/>
        </w:rPr>
        <w:t xml:space="preserve">Sul fondo </w:t>
      </w:r>
      <w:r w:rsidR="00006FAE">
        <w:rPr>
          <w:rFonts w:ascii="Verdana" w:hAnsi="Verdana"/>
          <w:bCs/>
          <w:sz w:val="20"/>
          <w:szCs w:val="22"/>
        </w:rPr>
        <w:t xml:space="preserve">della scatola sono presenti le </w:t>
      </w:r>
      <w:r w:rsidR="00006FAE" w:rsidRPr="0086495F">
        <w:rPr>
          <w:rFonts w:ascii="Verdana" w:hAnsi="Verdana"/>
          <w:b/>
          <w:bCs/>
          <w:sz w:val="20"/>
          <w:szCs w:val="22"/>
        </w:rPr>
        <w:t>cuspidi per il centraggio della tazza</w:t>
      </w:r>
      <w:r w:rsidR="00006FAE">
        <w:rPr>
          <w:rFonts w:ascii="Verdana" w:hAnsi="Verdana"/>
          <w:bCs/>
          <w:sz w:val="20"/>
          <w:szCs w:val="22"/>
        </w:rPr>
        <w:t xml:space="preserve"> che ne facilitano la fresatura per l’inserimento frontale sulla lastra. Il foro può essere realizzato anche sfruttando il rilievo del bordo frontale o le dime posteriori.</w:t>
      </w:r>
    </w:p>
    <w:p w14:paraId="421C15E6" w14:textId="77777777" w:rsidR="00006FAE" w:rsidRDefault="00006FAE" w:rsidP="00A512D7">
      <w:pPr>
        <w:autoSpaceDE w:val="0"/>
        <w:jc w:val="both"/>
        <w:rPr>
          <w:rFonts w:ascii="Verdana" w:hAnsi="Verdana"/>
          <w:bCs/>
          <w:sz w:val="20"/>
          <w:szCs w:val="22"/>
        </w:rPr>
      </w:pPr>
    </w:p>
    <w:p w14:paraId="517DCBBD" w14:textId="0A1D8520" w:rsidR="00006FAE" w:rsidRDefault="00592910" w:rsidP="00006FAE">
      <w:pPr>
        <w:autoSpaceDE w:val="0"/>
        <w:jc w:val="both"/>
        <w:rPr>
          <w:rFonts w:ascii="Verdana" w:hAnsi="Verdana"/>
          <w:bCs/>
          <w:sz w:val="20"/>
          <w:szCs w:val="22"/>
        </w:rPr>
      </w:pPr>
      <w:r>
        <w:rPr>
          <w:rFonts w:ascii="Verdana" w:hAnsi="Verdana"/>
          <w:bCs/>
          <w:sz w:val="20"/>
          <w:szCs w:val="22"/>
        </w:rPr>
        <w:t>Le scatole</w:t>
      </w:r>
      <w:r w:rsidR="00006FAE" w:rsidRPr="00006FAE">
        <w:rPr>
          <w:rFonts w:ascii="Verdana" w:hAnsi="Verdana"/>
          <w:bCs/>
          <w:sz w:val="20"/>
          <w:szCs w:val="22"/>
        </w:rPr>
        <w:t xml:space="preserve"> RIVOBOX per pareti in cartongesso </w:t>
      </w:r>
      <w:r>
        <w:rPr>
          <w:rFonts w:ascii="Verdana" w:hAnsi="Verdana"/>
          <w:bCs/>
          <w:sz w:val="20"/>
          <w:szCs w:val="22"/>
        </w:rPr>
        <w:t>sono</w:t>
      </w:r>
      <w:r w:rsidR="00006FAE" w:rsidRPr="00006FAE">
        <w:rPr>
          <w:rFonts w:ascii="Verdana" w:hAnsi="Verdana"/>
          <w:bCs/>
          <w:sz w:val="20"/>
          <w:szCs w:val="22"/>
        </w:rPr>
        <w:t xml:space="preserve"> </w:t>
      </w:r>
      <w:r>
        <w:rPr>
          <w:rFonts w:ascii="Verdana" w:hAnsi="Verdana"/>
          <w:b/>
          <w:bCs/>
          <w:sz w:val="20"/>
          <w:szCs w:val="22"/>
        </w:rPr>
        <w:t>predisposte</w:t>
      </w:r>
      <w:r w:rsidR="00006FAE" w:rsidRPr="00006FAE">
        <w:rPr>
          <w:rFonts w:ascii="Verdana" w:hAnsi="Verdana"/>
          <w:b/>
          <w:bCs/>
          <w:sz w:val="20"/>
          <w:szCs w:val="22"/>
        </w:rPr>
        <w:t xml:space="preserve"> per l’inserimento dell’accessorio blocca tubo corrugato </w:t>
      </w:r>
      <w:r w:rsidR="00006FAE" w:rsidRPr="00006FAE">
        <w:rPr>
          <w:rFonts w:ascii="Verdana" w:hAnsi="Verdana"/>
          <w:bCs/>
          <w:sz w:val="20"/>
          <w:szCs w:val="22"/>
        </w:rPr>
        <w:t>(art. 25BTCG): l’installatore non dovrà più ricorrere a laboriosi ed improvvisati sistemi “fai da te” per assicurare il tubo alla scatola, evitando in questo modo che si sganci durante le operazioni di cablaggio. L’accessorio blocca tubo corrugato offre la possibilità di fissare sia tubi con diametro da 20 mm che quelli con diametro da 25 mm</w:t>
      </w:r>
      <w:r w:rsidR="007D57AC">
        <w:rPr>
          <w:rFonts w:ascii="Verdana" w:hAnsi="Verdana"/>
          <w:bCs/>
          <w:sz w:val="20"/>
          <w:szCs w:val="22"/>
        </w:rPr>
        <w:t>, fino ad un massimo di 10 tubi per scatola</w:t>
      </w:r>
      <w:r w:rsidR="00006FAE" w:rsidRPr="00006FAE">
        <w:rPr>
          <w:rFonts w:ascii="Verdana" w:hAnsi="Verdana"/>
          <w:bCs/>
          <w:sz w:val="20"/>
          <w:szCs w:val="22"/>
        </w:rPr>
        <w:t xml:space="preserve">; </w:t>
      </w:r>
      <w:r w:rsidR="00CA3FC7">
        <w:rPr>
          <w:rFonts w:ascii="Verdana" w:hAnsi="Verdana"/>
          <w:bCs/>
          <w:sz w:val="20"/>
          <w:szCs w:val="22"/>
        </w:rPr>
        <w:t>con</w:t>
      </w:r>
      <w:r w:rsidR="00006FAE" w:rsidRPr="008943DD">
        <w:rPr>
          <w:rFonts w:ascii="Verdana" w:hAnsi="Verdana"/>
          <w:bCs/>
          <w:sz w:val="20"/>
          <w:szCs w:val="22"/>
        </w:rPr>
        <w:t xml:space="preserve"> </w:t>
      </w:r>
      <w:r w:rsidR="00006FAE" w:rsidRPr="008943DD">
        <w:rPr>
          <w:rFonts w:ascii="Verdana" w:hAnsi="Verdana"/>
          <w:b/>
          <w:bCs/>
          <w:sz w:val="20"/>
          <w:szCs w:val="22"/>
        </w:rPr>
        <w:t>un solo accessorio</w:t>
      </w:r>
      <w:r w:rsidR="00006FAE" w:rsidRPr="008943DD">
        <w:rPr>
          <w:rFonts w:ascii="Verdana" w:hAnsi="Verdana"/>
          <w:bCs/>
          <w:sz w:val="20"/>
          <w:szCs w:val="22"/>
        </w:rPr>
        <w:t xml:space="preserve"> </w:t>
      </w:r>
      <w:r w:rsidR="00CA3FC7">
        <w:rPr>
          <w:rFonts w:ascii="Verdana" w:hAnsi="Verdana"/>
          <w:bCs/>
          <w:sz w:val="20"/>
          <w:szCs w:val="22"/>
        </w:rPr>
        <w:t>si possono</w:t>
      </w:r>
      <w:r w:rsidR="00006FAE" w:rsidRPr="008943DD">
        <w:rPr>
          <w:rFonts w:ascii="Verdana" w:hAnsi="Verdana"/>
          <w:bCs/>
          <w:sz w:val="20"/>
          <w:szCs w:val="22"/>
        </w:rPr>
        <w:t xml:space="preserve"> fissare le due sezioni di tubo corrugato più utilizzate nell’impianto elettrico.</w:t>
      </w:r>
      <w:r w:rsidR="00006FAE" w:rsidRPr="00006FAE">
        <w:rPr>
          <w:rFonts w:ascii="Verdana" w:hAnsi="Verdana"/>
          <w:bCs/>
          <w:sz w:val="20"/>
          <w:szCs w:val="22"/>
        </w:rPr>
        <w:t xml:space="preserve"> Questo </w:t>
      </w:r>
      <w:r w:rsidR="008943DD">
        <w:rPr>
          <w:rFonts w:ascii="Verdana" w:hAnsi="Verdana"/>
          <w:bCs/>
          <w:sz w:val="20"/>
          <w:szCs w:val="22"/>
        </w:rPr>
        <w:t>raccordo</w:t>
      </w:r>
      <w:r w:rsidR="00006FAE" w:rsidRPr="00006FAE">
        <w:rPr>
          <w:rFonts w:ascii="Verdana" w:hAnsi="Verdana"/>
          <w:bCs/>
          <w:sz w:val="20"/>
          <w:szCs w:val="22"/>
        </w:rPr>
        <w:t xml:space="preserve"> inoltre permette di rifilare il tubo a filo del bordo interno della scatola aumentando lo spazio di manovra interno per l’inserimento dei cavi. </w:t>
      </w:r>
    </w:p>
    <w:p w14:paraId="0373447F" w14:textId="77777777" w:rsidR="007D57AC" w:rsidRDefault="007D57AC" w:rsidP="00006FAE">
      <w:pPr>
        <w:autoSpaceDE w:val="0"/>
        <w:jc w:val="both"/>
        <w:rPr>
          <w:rFonts w:ascii="Verdana" w:hAnsi="Verdana"/>
          <w:bCs/>
          <w:sz w:val="20"/>
          <w:szCs w:val="22"/>
        </w:rPr>
      </w:pPr>
    </w:p>
    <w:p w14:paraId="33B613EF" w14:textId="72C1CE07" w:rsidR="0086495F" w:rsidRDefault="007D57AC" w:rsidP="00A512D7">
      <w:pPr>
        <w:autoSpaceDE w:val="0"/>
        <w:jc w:val="both"/>
        <w:rPr>
          <w:rFonts w:ascii="Verdana" w:hAnsi="Verdana"/>
          <w:bCs/>
          <w:sz w:val="20"/>
          <w:szCs w:val="22"/>
        </w:rPr>
      </w:pPr>
      <w:r w:rsidRPr="00FA3DF4">
        <w:rPr>
          <w:rFonts w:ascii="Verdana" w:hAnsi="Verdana"/>
          <w:bCs/>
          <w:sz w:val="20"/>
          <w:szCs w:val="22"/>
        </w:rPr>
        <w:t xml:space="preserve">I </w:t>
      </w:r>
      <w:r w:rsidRPr="00FA3DF4">
        <w:rPr>
          <w:rFonts w:ascii="Verdana" w:hAnsi="Verdana"/>
          <w:bCs/>
          <w:color w:val="000000" w:themeColor="text1"/>
          <w:sz w:val="20"/>
          <w:szCs w:val="22"/>
        </w:rPr>
        <w:t xml:space="preserve">progettisti hanno a loro disposizione </w:t>
      </w:r>
      <w:r w:rsidR="00CA3FC7">
        <w:rPr>
          <w:rFonts w:ascii="Verdana" w:hAnsi="Verdana"/>
          <w:bCs/>
          <w:color w:val="000000" w:themeColor="text1"/>
          <w:sz w:val="20"/>
          <w:szCs w:val="22"/>
        </w:rPr>
        <w:t xml:space="preserve">delle </w:t>
      </w:r>
      <w:r w:rsidR="00CA3FC7" w:rsidRPr="00F10B41">
        <w:rPr>
          <w:rFonts w:ascii="Verdana" w:hAnsi="Verdana"/>
          <w:bCs/>
          <w:color w:val="000000" w:themeColor="text1"/>
          <w:sz w:val="20"/>
          <w:szCs w:val="22"/>
        </w:rPr>
        <w:t>scatole</w:t>
      </w:r>
      <w:r w:rsidRPr="00F10B41">
        <w:rPr>
          <w:rFonts w:ascii="Verdana" w:hAnsi="Verdana"/>
          <w:bCs/>
          <w:color w:val="000000" w:themeColor="text1"/>
          <w:sz w:val="20"/>
          <w:szCs w:val="22"/>
        </w:rPr>
        <w:t xml:space="preserve"> con</w:t>
      </w:r>
      <w:r w:rsidRPr="00FA3DF4">
        <w:rPr>
          <w:rFonts w:ascii="Verdana" w:hAnsi="Verdana"/>
          <w:b/>
          <w:bCs/>
          <w:color w:val="000000" w:themeColor="text1"/>
          <w:sz w:val="20"/>
          <w:szCs w:val="22"/>
        </w:rPr>
        <w:t xml:space="preserve"> livello di protezione dell’involucro sul fondo IP4X</w:t>
      </w:r>
      <w:r w:rsidRPr="00FA3DF4">
        <w:rPr>
          <w:rFonts w:ascii="Verdana" w:hAnsi="Verdana"/>
          <w:bCs/>
          <w:color w:val="000000" w:themeColor="text1"/>
          <w:sz w:val="20"/>
          <w:szCs w:val="22"/>
        </w:rPr>
        <w:t xml:space="preserve"> che, oltre a rispettare pienamente i parametri previsti dalla Norma CEI 64-8 per luoghi speciali, </w:t>
      </w:r>
      <w:r w:rsidR="00CA3FC7">
        <w:rPr>
          <w:rFonts w:ascii="Verdana" w:hAnsi="Verdana"/>
          <w:bCs/>
          <w:color w:val="000000" w:themeColor="text1"/>
          <w:sz w:val="20"/>
          <w:szCs w:val="22"/>
        </w:rPr>
        <w:t>consentono</w:t>
      </w:r>
      <w:r w:rsidRPr="00FA3DF4">
        <w:rPr>
          <w:rFonts w:ascii="Verdana" w:hAnsi="Verdana"/>
          <w:bCs/>
          <w:color w:val="000000" w:themeColor="text1"/>
          <w:sz w:val="20"/>
          <w:szCs w:val="22"/>
        </w:rPr>
        <w:t xml:space="preserve"> di mantenere o </w:t>
      </w:r>
      <w:r w:rsidRPr="00FA3DF4">
        <w:rPr>
          <w:rFonts w:ascii="Verdana" w:hAnsi="Verdana"/>
          <w:b/>
          <w:bCs/>
          <w:color w:val="000000" w:themeColor="text1"/>
          <w:sz w:val="20"/>
          <w:szCs w:val="22"/>
        </w:rPr>
        <w:t xml:space="preserve">aumentare l’isolamento della struttura per il risparmio </w:t>
      </w:r>
      <w:r w:rsidRPr="00FA3DF4">
        <w:rPr>
          <w:rFonts w:ascii="Verdana" w:hAnsi="Verdana"/>
          <w:b/>
          <w:bCs/>
          <w:sz w:val="20"/>
          <w:szCs w:val="22"/>
        </w:rPr>
        <w:t xml:space="preserve">energetico. </w:t>
      </w:r>
      <w:r w:rsidR="008943DD">
        <w:rPr>
          <w:rFonts w:ascii="Verdana" w:hAnsi="Verdana"/>
          <w:bCs/>
          <w:sz w:val="20"/>
          <w:szCs w:val="22"/>
        </w:rPr>
        <w:t xml:space="preserve">Le scatole </w:t>
      </w:r>
      <w:r w:rsidR="00FA3DF4">
        <w:rPr>
          <w:rFonts w:ascii="Verdana" w:hAnsi="Verdana"/>
          <w:bCs/>
          <w:sz w:val="20"/>
          <w:szCs w:val="22"/>
        </w:rPr>
        <w:t xml:space="preserve">RIVOBOX </w:t>
      </w:r>
      <w:r w:rsidR="00FA3DF4">
        <w:rPr>
          <w:rFonts w:ascii="Verdana" w:hAnsi="Verdana"/>
          <w:bCs/>
          <w:color w:val="000000" w:themeColor="text1"/>
          <w:sz w:val="20"/>
          <w:szCs w:val="22"/>
        </w:rPr>
        <w:t>ha</w:t>
      </w:r>
      <w:r w:rsidR="008943DD">
        <w:rPr>
          <w:rFonts w:ascii="Verdana" w:hAnsi="Verdana"/>
          <w:bCs/>
          <w:color w:val="000000" w:themeColor="text1"/>
          <w:sz w:val="20"/>
          <w:szCs w:val="22"/>
        </w:rPr>
        <w:t>nno</w:t>
      </w:r>
      <w:r w:rsidR="00FA3DF4">
        <w:rPr>
          <w:rFonts w:ascii="Verdana" w:hAnsi="Verdana"/>
          <w:bCs/>
          <w:color w:val="000000" w:themeColor="text1"/>
          <w:sz w:val="20"/>
          <w:szCs w:val="22"/>
        </w:rPr>
        <w:t xml:space="preserve"> già ottenuto la prestigiosa </w:t>
      </w:r>
      <w:r w:rsidR="00FA3DF4" w:rsidRPr="009B1FCA">
        <w:rPr>
          <w:rFonts w:ascii="Verdana" w:hAnsi="Verdana"/>
          <w:b/>
          <w:bCs/>
          <w:color w:val="000000" w:themeColor="text1"/>
          <w:sz w:val="20"/>
          <w:szCs w:val="22"/>
        </w:rPr>
        <w:t>certificazione IMQ</w:t>
      </w:r>
      <w:r w:rsidR="00FA3DF4">
        <w:rPr>
          <w:rFonts w:ascii="Verdana" w:hAnsi="Verdana"/>
          <w:bCs/>
          <w:color w:val="000000" w:themeColor="text1"/>
          <w:sz w:val="20"/>
          <w:szCs w:val="22"/>
        </w:rPr>
        <w:t xml:space="preserve"> che testimonia l’impegno di AVE per offrire prodotti non solo innovativi, ma anche affidabili e di qualità.</w:t>
      </w:r>
      <w:r w:rsidR="00FA3DF4">
        <w:rPr>
          <w:rFonts w:ascii="Verdana" w:hAnsi="Verdana"/>
          <w:bCs/>
          <w:sz w:val="20"/>
          <w:szCs w:val="22"/>
        </w:rPr>
        <w:t xml:space="preserve"> </w:t>
      </w:r>
    </w:p>
    <w:p w14:paraId="1F2BCF6D" w14:textId="77777777" w:rsidR="008943DD" w:rsidRDefault="008943DD" w:rsidP="00A512D7">
      <w:pPr>
        <w:autoSpaceDE w:val="0"/>
        <w:jc w:val="both"/>
        <w:rPr>
          <w:rFonts w:ascii="Verdana" w:hAnsi="Verdana"/>
          <w:bCs/>
          <w:sz w:val="20"/>
          <w:szCs w:val="22"/>
        </w:rPr>
      </w:pPr>
    </w:p>
    <w:p w14:paraId="1274E57B" w14:textId="25776C91" w:rsidR="009F1D6A" w:rsidRDefault="008943DD" w:rsidP="00A512D7">
      <w:pPr>
        <w:autoSpaceDE w:val="0"/>
        <w:jc w:val="both"/>
        <w:rPr>
          <w:rFonts w:ascii="Verdana" w:hAnsi="Verdana"/>
          <w:bCs/>
          <w:sz w:val="20"/>
          <w:szCs w:val="22"/>
        </w:rPr>
      </w:pPr>
      <w:r>
        <w:rPr>
          <w:rFonts w:ascii="Verdana" w:hAnsi="Verdana"/>
          <w:bCs/>
          <w:sz w:val="20"/>
          <w:szCs w:val="22"/>
        </w:rPr>
        <w:t xml:space="preserve">Grazie al </w:t>
      </w:r>
      <w:r w:rsidRPr="0086495F">
        <w:rPr>
          <w:rFonts w:ascii="Verdana" w:hAnsi="Verdana"/>
          <w:b/>
          <w:bCs/>
          <w:sz w:val="20"/>
          <w:szCs w:val="22"/>
        </w:rPr>
        <w:t>supporto universale S44</w:t>
      </w:r>
      <w:r>
        <w:rPr>
          <w:rFonts w:ascii="Verdana" w:hAnsi="Verdana"/>
          <w:bCs/>
          <w:sz w:val="20"/>
          <w:szCs w:val="22"/>
        </w:rPr>
        <w:t xml:space="preserve">, alla tecnologia integrata dai nuovi </w:t>
      </w:r>
      <w:r w:rsidRPr="0086495F">
        <w:rPr>
          <w:rFonts w:ascii="Verdana" w:hAnsi="Verdana"/>
          <w:b/>
          <w:bCs/>
          <w:sz w:val="20"/>
          <w:szCs w:val="22"/>
        </w:rPr>
        <w:t>frutti Ave Touch</w:t>
      </w:r>
      <w:r>
        <w:rPr>
          <w:rFonts w:ascii="Verdana" w:hAnsi="Verdana"/>
          <w:bCs/>
          <w:sz w:val="20"/>
          <w:szCs w:val="22"/>
        </w:rPr>
        <w:t xml:space="preserve">, anch’essi con certificazione IMQ, e alle moderne ed </w:t>
      </w:r>
      <w:r w:rsidR="0086495F">
        <w:rPr>
          <w:rFonts w:ascii="Verdana" w:hAnsi="Verdana"/>
          <w:bCs/>
          <w:sz w:val="20"/>
          <w:szCs w:val="22"/>
        </w:rPr>
        <w:t xml:space="preserve">ultrapiatte </w:t>
      </w:r>
      <w:r w:rsidR="0086495F" w:rsidRPr="0086495F">
        <w:rPr>
          <w:rFonts w:ascii="Verdana" w:hAnsi="Verdana"/>
          <w:b/>
          <w:bCs/>
          <w:sz w:val="20"/>
          <w:szCs w:val="22"/>
        </w:rPr>
        <w:t>placche Young Touch</w:t>
      </w:r>
      <w:r w:rsidR="0086495F">
        <w:rPr>
          <w:rFonts w:ascii="Verdana" w:hAnsi="Verdana"/>
          <w:bCs/>
          <w:sz w:val="20"/>
          <w:szCs w:val="22"/>
        </w:rPr>
        <w:t xml:space="preserve">, le scatole </w:t>
      </w:r>
      <w:r w:rsidR="0086495F" w:rsidRPr="0086495F">
        <w:rPr>
          <w:rFonts w:ascii="Verdana" w:hAnsi="Verdana"/>
          <w:b/>
          <w:bCs/>
          <w:sz w:val="20"/>
          <w:szCs w:val="22"/>
        </w:rPr>
        <w:t>RIVOBOX</w:t>
      </w:r>
      <w:r w:rsidR="0086495F">
        <w:rPr>
          <w:rFonts w:ascii="Verdana" w:hAnsi="Verdana"/>
          <w:bCs/>
          <w:sz w:val="20"/>
          <w:szCs w:val="22"/>
        </w:rPr>
        <w:t xml:space="preserve"> </w:t>
      </w:r>
      <w:r w:rsidR="00E2535B">
        <w:rPr>
          <w:rFonts w:ascii="Verdana" w:hAnsi="Verdana"/>
          <w:bCs/>
          <w:sz w:val="20"/>
          <w:szCs w:val="22"/>
        </w:rPr>
        <w:t xml:space="preserve">per cartongesso </w:t>
      </w:r>
      <w:r w:rsidR="0086495F">
        <w:rPr>
          <w:rFonts w:ascii="Verdana" w:hAnsi="Verdana"/>
          <w:bCs/>
          <w:sz w:val="20"/>
          <w:szCs w:val="22"/>
        </w:rPr>
        <w:t>possono essere completate per</w:t>
      </w:r>
      <w:r>
        <w:rPr>
          <w:rFonts w:ascii="Verdana" w:hAnsi="Verdana"/>
          <w:bCs/>
          <w:sz w:val="20"/>
          <w:szCs w:val="22"/>
        </w:rPr>
        <w:t xml:space="preserve"> realizzare un punto luce innovativo</w:t>
      </w:r>
      <w:r w:rsidR="0086495F">
        <w:rPr>
          <w:rFonts w:ascii="Verdana" w:hAnsi="Verdana"/>
          <w:bCs/>
          <w:sz w:val="20"/>
          <w:szCs w:val="22"/>
        </w:rPr>
        <w:t xml:space="preserve"> e </w:t>
      </w:r>
      <w:r>
        <w:rPr>
          <w:rFonts w:ascii="Verdana" w:hAnsi="Verdana"/>
          <w:bCs/>
          <w:sz w:val="20"/>
          <w:szCs w:val="22"/>
        </w:rPr>
        <w:t xml:space="preserve">totalmente rivoluzionario: </w:t>
      </w:r>
      <w:r w:rsidRPr="0086495F">
        <w:rPr>
          <w:rFonts w:ascii="Verdana" w:hAnsi="Verdana"/>
          <w:b/>
          <w:bCs/>
          <w:sz w:val="20"/>
          <w:szCs w:val="22"/>
        </w:rPr>
        <w:t>RIVOLUX</w:t>
      </w:r>
      <w:r w:rsidR="0086495F" w:rsidRPr="0086495F">
        <w:rPr>
          <w:rFonts w:ascii="Verdana" w:hAnsi="Verdana"/>
          <w:b/>
          <w:bCs/>
          <w:sz w:val="20"/>
          <w:szCs w:val="22"/>
        </w:rPr>
        <w:t>, il punto luce del futuro</w:t>
      </w:r>
      <w:r w:rsidRPr="0086495F">
        <w:rPr>
          <w:rFonts w:ascii="Verdana" w:hAnsi="Verdana"/>
          <w:b/>
          <w:bCs/>
          <w:sz w:val="20"/>
          <w:szCs w:val="22"/>
        </w:rPr>
        <w:t>.</w:t>
      </w:r>
      <w:r>
        <w:rPr>
          <w:rFonts w:ascii="Verdana" w:hAnsi="Verdana"/>
          <w:bCs/>
          <w:sz w:val="20"/>
          <w:szCs w:val="22"/>
        </w:rPr>
        <w:t xml:space="preserve"> </w:t>
      </w:r>
    </w:p>
    <w:p w14:paraId="3B14EC19" w14:textId="77777777" w:rsidR="001B3D0F" w:rsidRDefault="001B3D0F" w:rsidP="00F16E7F">
      <w:pPr>
        <w:jc w:val="both"/>
        <w:rPr>
          <w:rFonts w:ascii="Verdana" w:hAnsi="Verdana"/>
          <w:sz w:val="20"/>
        </w:rPr>
      </w:pPr>
    </w:p>
    <w:p w14:paraId="1D7CAC17" w14:textId="0C86ACB5" w:rsidR="00545A50" w:rsidRDefault="000620C4" w:rsidP="00F16E7F">
      <w:pPr>
        <w:jc w:val="both"/>
        <w:rPr>
          <w:rFonts w:ascii="Verdana" w:hAnsi="Verdana"/>
          <w:sz w:val="20"/>
        </w:rPr>
      </w:pPr>
      <w:r>
        <w:rPr>
          <w:rFonts w:ascii="Verdana" w:hAnsi="Verdana"/>
          <w:sz w:val="20"/>
        </w:rPr>
        <w:t xml:space="preserve">Rezzato, </w:t>
      </w:r>
      <w:r w:rsidR="00BA42F8">
        <w:rPr>
          <w:rFonts w:ascii="Verdana" w:hAnsi="Verdana"/>
          <w:sz w:val="20"/>
        </w:rPr>
        <w:t>18</w:t>
      </w:r>
      <w:r w:rsidR="00545A50">
        <w:rPr>
          <w:rFonts w:ascii="Verdana" w:hAnsi="Verdana"/>
          <w:sz w:val="20"/>
        </w:rPr>
        <w:t xml:space="preserve"> </w:t>
      </w:r>
      <w:r w:rsidR="00DA3421">
        <w:rPr>
          <w:rFonts w:ascii="Verdana" w:hAnsi="Verdana"/>
          <w:sz w:val="20"/>
        </w:rPr>
        <w:t>gennaio 2017</w:t>
      </w:r>
    </w:p>
    <w:p w14:paraId="146A2F68" w14:textId="77777777" w:rsidR="00545A50" w:rsidRDefault="00545A50" w:rsidP="00F16E7F">
      <w:pPr>
        <w:jc w:val="both"/>
        <w:rPr>
          <w:rFonts w:ascii="Verdana" w:hAnsi="Verdana"/>
          <w:sz w:val="20"/>
        </w:rPr>
      </w:pPr>
    </w:p>
    <w:p w14:paraId="264A8A5F" w14:textId="77777777" w:rsidR="00545A50" w:rsidRDefault="00545A50" w:rsidP="00F16E7F">
      <w:pPr>
        <w:jc w:val="both"/>
        <w:rPr>
          <w:rFonts w:ascii="Verdana" w:hAnsi="Verdana"/>
          <w:sz w:val="20"/>
        </w:rPr>
      </w:pPr>
    </w:p>
    <w:p w14:paraId="14AB2B04" w14:textId="059DFD64" w:rsidR="00545A50" w:rsidRPr="00F16E7F" w:rsidRDefault="00545A50" w:rsidP="00545A50">
      <w:pPr>
        <w:jc w:val="center"/>
        <w:rPr>
          <w:rFonts w:ascii="Verdana" w:hAnsi="Verdana"/>
          <w:sz w:val="20"/>
        </w:rPr>
      </w:pPr>
      <w:r>
        <w:rPr>
          <w:rFonts w:ascii="Verdana" w:hAnsi="Verdana"/>
          <w:sz w:val="20"/>
        </w:rPr>
        <w:t>www.ave.it</w:t>
      </w:r>
    </w:p>
    <w:sectPr w:rsidR="00545A50" w:rsidRPr="00F16E7F" w:rsidSect="00F81338">
      <w:headerReference w:type="even" r:id="rId8"/>
      <w:headerReference w:type="default" r:id="rId9"/>
      <w:footerReference w:type="even" r:id="rId10"/>
      <w:footerReference w:type="default" r:id="rId11"/>
      <w:headerReference w:type="first" r:id="rId12"/>
      <w:footerReference w:type="first" r:id="rId13"/>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19CE0" w14:textId="77777777" w:rsidR="00CF5FAD" w:rsidRDefault="00CF5FAD" w:rsidP="00BD1C27">
      <w:r>
        <w:separator/>
      </w:r>
    </w:p>
  </w:endnote>
  <w:endnote w:type="continuationSeparator" w:id="0">
    <w:p w14:paraId="5451B533" w14:textId="77777777" w:rsidR="00CF5FAD" w:rsidRDefault="00CF5FAD"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EE513" w14:textId="77777777" w:rsidR="008F1DBF" w:rsidRDefault="008F1DBF">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4A4E8" w14:textId="27BB8DD3" w:rsidR="007F5FA7" w:rsidRDefault="00330B96" w:rsidP="00330B96">
    <w:pPr>
      <w:autoSpaceDE w:val="0"/>
      <w:jc w:val="center"/>
      <w:rPr>
        <w:rFonts w:ascii="Verdana" w:hAnsi="Verdana"/>
        <w:sz w:val="15"/>
        <w:szCs w:val="20"/>
      </w:rPr>
    </w:pPr>
    <w:r w:rsidRPr="00FF3380">
      <w:rPr>
        <w:rFonts w:ascii="Verdana" w:hAnsi="Verdana"/>
        <w:sz w:val="15"/>
        <w:szCs w:val="20"/>
      </w:rPr>
      <w:t>RIVOLUX e RIVOLUX Tour sono marchi registrati.</w:t>
    </w:r>
    <w:r w:rsidRPr="00FF3380">
      <w:rPr>
        <w:rFonts w:ascii="Verdana" w:hAnsi="Verdana"/>
        <w:sz w:val="15"/>
        <w:szCs w:val="20"/>
      </w:rPr>
      <w:br/>
      <w:t>Campagna con nomi depositati presso la Siae - Società Italiana Autori Editori</w:t>
    </w:r>
  </w:p>
  <w:p w14:paraId="41D591CB" w14:textId="77777777" w:rsidR="008F1DBF" w:rsidRPr="00F96A14" w:rsidRDefault="008F1DBF" w:rsidP="00330B96">
    <w:pPr>
      <w:autoSpaceDE w:val="0"/>
      <w:jc w:val="center"/>
      <w:rPr>
        <w:rFonts w:ascii="Verdana" w:hAnsi="Verdana"/>
        <w:color w:val="000000" w:themeColor="text1"/>
        <w:sz w:val="20"/>
        <w:szCs w:val="20"/>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7DE23" w14:textId="77777777" w:rsidR="008F1DBF" w:rsidRDefault="008F1DB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644C7" w14:textId="77777777" w:rsidR="00CF5FAD" w:rsidRDefault="00CF5FAD" w:rsidP="00BD1C27">
      <w:r>
        <w:separator/>
      </w:r>
    </w:p>
  </w:footnote>
  <w:footnote w:type="continuationSeparator" w:id="0">
    <w:p w14:paraId="5E2269A2" w14:textId="77777777" w:rsidR="00CF5FAD" w:rsidRDefault="00CF5FAD"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8578C" w14:textId="77777777" w:rsidR="008F1DBF" w:rsidRDefault="008F1DBF">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85F5E" w14:textId="77777777" w:rsidR="008F1DBF" w:rsidRDefault="008F1DB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C07519"/>
    <w:multiLevelType w:val="hybridMultilevel"/>
    <w:tmpl w:val="0F8A8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4918A3"/>
    <w:multiLevelType w:val="hybridMultilevel"/>
    <w:tmpl w:val="D4067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6F5658"/>
    <w:multiLevelType w:val="hybridMultilevel"/>
    <w:tmpl w:val="60B8E7F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nsid w:val="2D861BEF"/>
    <w:multiLevelType w:val="hybridMultilevel"/>
    <w:tmpl w:val="B4B87FAA"/>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5">
    <w:nsid w:val="2F9C1D98"/>
    <w:multiLevelType w:val="hybridMultilevel"/>
    <w:tmpl w:val="F78A33D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307E7EB4"/>
    <w:multiLevelType w:val="hybridMultilevel"/>
    <w:tmpl w:val="29E0C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3672FF7"/>
    <w:multiLevelType w:val="hybridMultilevel"/>
    <w:tmpl w:val="90D22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F10F98"/>
    <w:multiLevelType w:val="multilevel"/>
    <w:tmpl w:val="E29E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A10852"/>
    <w:multiLevelType w:val="hybridMultilevel"/>
    <w:tmpl w:val="A4D28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732837"/>
    <w:multiLevelType w:val="hybridMultilevel"/>
    <w:tmpl w:val="3768D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6E3594F"/>
    <w:multiLevelType w:val="hybridMultilevel"/>
    <w:tmpl w:val="D78E1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576ACE"/>
    <w:multiLevelType w:val="hybridMultilevel"/>
    <w:tmpl w:val="76DA1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FE006A6"/>
    <w:multiLevelType w:val="hybridMultilevel"/>
    <w:tmpl w:val="9F68DAF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1"/>
  </w:num>
  <w:num w:numId="6">
    <w:abstractNumId w:val="10"/>
  </w:num>
  <w:num w:numId="7">
    <w:abstractNumId w:val="6"/>
  </w:num>
  <w:num w:numId="8">
    <w:abstractNumId w:val="9"/>
  </w:num>
  <w:num w:numId="9">
    <w:abstractNumId w:val="5"/>
  </w:num>
  <w:num w:numId="10">
    <w:abstractNumId w:val="0"/>
  </w:num>
  <w:num w:numId="11">
    <w:abstractNumId w:val="12"/>
  </w:num>
  <w:num w:numId="12">
    <w:abstractNumId w:val="7"/>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3B9E"/>
    <w:rsid w:val="00006FAE"/>
    <w:rsid w:val="00007492"/>
    <w:rsid w:val="00011A2F"/>
    <w:rsid w:val="000136BE"/>
    <w:rsid w:val="00021084"/>
    <w:rsid w:val="00031275"/>
    <w:rsid w:val="000315E8"/>
    <w:rsid w:val="00032C85"/>
    <w:rsid w:val="00036B82"/>
    <w:rsid w:val="00050B51"/>
    <w:rsid w:val="00052505"/>
    <w:rsid w:val="00053D56"/>
    <w:rsid w:val="00060F30"/>
    <w:rsid w:val="000620C4"/>
    <w:rsid w:val="000657F4"/>
    <w:rsid w:val="00065891"/>
    <w:rsid w:val="00066546"/>
    <w:rsid w:val="00067C9B"/>
    <w:rsid w:val="0007035C"/>
    <w:rsid w:val="00076113"/>
    <w:rsid w:val="0008413D"/>
    <w:rsid w:val="00085719"/>
    <w:rsid w:val="00090D6A"/>
    <w:rsid w:val="00091A28"/>
    <w:rsid w:val="000929B5"/>
    <w:rsid w:val="000A072E"/>
    <w:rsid w:val="000A363A"/>
    <w:rsid w:val="000A57CD"/>
    <w:rsid w:val="000B345B"/>
    <w:rsid w:val="000C4844"/>
    <w:rsid w:val="000D11FA"/>
    <w:rsid w:val="000D2BF8"/>
    <w:rsid w:val="000D3D8A"/>
    <w:rsid w:val="000D60DF"/>
    <w:rsid w:val="000E76A3"/>
    <w:rsid w:val="000F66FD"/>
    <w:rsid w:val="00111F06"/>
    <w:rsid w:val="001136FC"/>
    <w:rsid w:val="001152BB"/>
    <w:rsid w:val="00122B7C"/>
    <w:rsid w:val="00124FDF"/>
    <w:rsid w:val="0012772F"/>
    <w:rsid w:val="00127ACF"/>
    <w:rsid w:val="0013362C"/>
    <w:rsid w:val="00145524"/>
    <w:rsid w:val="00151715"/>
    <w:rsid w:val="00153CDB"/>
    <w:rsid w:val="00162A93"/>
    <w:rsid w:val="00162CA0"/>
    <w:rsid w:val="00163C05"/>
    <w:rsid w:val="0016607F"/>
    <w:rsid w:val="00183B01"/>
    <w:rsid w:val="001875E7"/>
    <w:rsid w:val="00191F89"/>
    <w:rsid w:val="00192121"/>
    <w:rsid w:val="001B01F4"/>
    <w:rsid w:val="001B20D1"/>
    <w:rsid w:val="001B34EC"/>
    <w:rsid w:val="001B39DC"/>
    <w:rsid w:val="001B3D0F"/>
    <w:rsid w:val="001C5A45"/>
    <w:rsid w:val="001D0CF6"/>
    <w:rsid w:val="001D6BF5"/>
    <w:rsid w:val="001E3A08"/>
    <w:rsid w:val="001E7737"/>
    <w:rsid w:val="001E79EE"/>
    <w:rsid w:val="001F0BC9"/>
    <w:rsid w:val="001F1E6B"/>
    <w:rsid w:val="001F3896"/>
    <w:rsid w:val="00214BB2"/>
    <w:rsid w:val="00217025"/>
    <w:rsid w:val="00233CD3"/>
    <w:rsid w:val="0024423A"/>
    <w:rsid w:val="0024586B"/>
    <w:rsid w:val="002551E2"/>
    <w:rsid w:val="00256002"/>
    <w:rsid w:val="00271656"/>
    <w:rsid w:val="00272E63"/>
    <w:rsid w:val="00283B2F"/>
    <w:rsid w:val="002843F4"/>
    <w:rsid w:val="0029004F"/>
    <w:rsid w:val="002915C2"/>
    <w:rsid w:val="00292268"/>
    <w:rsid w:val="002A0CF3"/>
    <w:rsid w:val="002A4D21"/>
    <w:rsid w:val="002B0357"/>
    <w:rsid w:val="002B08D7"/>
    <w:rsid w:val="002B08D9"/>
    <w:rsid w:val="002B0EDD"/>
    <w:rsid w:val="002C21B2"/>
    <w:rsid w:val="002C7926"/>
    <w:rsid w:val="002C7FC8"/>
    <w:rsid w:val="002D4CA2"/>
    <w:rsid w:val="002D66B5"/>
    <w:rsid w:val="002E0B8B"/>
    <w:rsid w:val="00302C08"/>
    <w:rsid w:val="003035F8"/>
    <w:rsid w:val="00315A7F"/>
    <w:rsid w:val="00316373"/>
    <w:rsid w:val="00317C32"/>
    <w:rsid w:val="003220DE"/>
    <w:rsid w:val="00322C85"/>
    <w:rsid w:val="003251CC"/>
    <w:rsid w:val="0032655C"/>
    <w:rsid w:val="003270CB"/>
    <w:rsid w:val="00330B96"/>
    <w:rsid w:val="003321FA"/>
    <w:rsid w:val="003435C3"/>
    <w:rsid w:val="0035375F"/>
    <w:rsid w:val="0035672A"/>
    <w:rsid w:val="00365C0D"/>
    <w:rsid w:val="0037172D"/>
    <w:rsid w:val="0037223A"/>
    <w:rsid w:val="00375836"/>
    <w:rsid w:val="00376823"/>
    <w:rsid w:val="00384463"/>
    <w:rsid w:val="00386D12"/>
    <w:rsid w:val="00392F0A"/>
    <w:rsid w:val="003A159A"/>
    <w:rsid w:val="003A58B8"/>
    <w:rsid w:val="003B507C"/>
    <w:rsid w:val="003B7B2D"/>
    <w:rsid w:val="003C05D9"/>
    <w:rsid w:val="003C3E05"/>
    <w:rsid w:val="003C52F2"/>
    <w:rsid w:val="003C5796"/>
    <w:rsid w:val="003C6C11"/>
    <w:rsid w:val="003D423F"/>
    <w:rsid w:val="003E5705"/>
    <w:rsid w:val="003E576A"/>
    <w:rsid w:val="003E5FC2"/>
    <w:rsid w:val="003F0FE7"/>
    <w:rsid w:val="003F75B4"/>
    <w:rsid w:val="003F7AB8"/>
    <w:rsid w:val="0042008A"/>
    <w:rsid w:val="004205FA"/>
    <w:rsid w:val="00420B6A"/>
    <w:rsid w:val="00422292"/>
    <w:rsid w:val="00424950"/>
    <w:rsid w:val="0043130D"/>
    <w:rsid w:val="0045108D"/>
    <w:rsid w:val="00453266"/>
    <w:rsid w:val="0045580C"/>
    <w:rsid w:val="00466E68"/>
    <w:rsid w:val="004675E6"/>
    <w:rsid w:val="00473BC9"/>
    <w:rsid w:val="004754BA"/>
    <w:rsid w:val="00483985"/>
    <w:rsid w:val="004846DC"/>
    <w:rsid w:val="004918E4"/>
    <w:rsid w:val="00495989"/>
    <w:rsid w:val="00496D67"/>
    <w:rsid w:val="004A0B25"/>
    <w:rsid w:val="004A2F37"/>
    <w:rsid w:val="004A56A8"/>
    <w:rsid w:val="004A6580"/>
    <w:rsid w:val="004B3D5D"/>
    <w:rsid w:val="004C065D"/>
    <w:rsid w:val="004C2D60"/>
    <w:rsid w:val="004C441A"/>
    <w:rsid w:val="004C72CB"/>
    <w:rsid w:val="004D71FC"/>
    <w:rsid w:val="004E4495"/>
    <w:rsid w:val="004E5EE3"/>
    <w:rsid w:val="004F052E"/>
    <w:rsid w:val="004F1FA5"/>
    <w:rsid w:val="004F4405"/>
    <w:rsid w:val="004F7671"/>
    <w:rsid w:val="0050014A"/>
    <w:rsid w:val="0051414C"/>
    <w:rsid w:val="00525003"/>
    <w:rsid w:val="00526C22"/>
    <w:rsid w:val="00534D99"/>
    <w:rsid w:val="005378DC"/>
    <w:rsid w:val="00541ED0"/>
    <w:rsid w:val="00543352"/>
    <w:rsid w:val="005446B7"/>
    <w:rsid w:val="00545A50"/>
    <w:rsid w:val="00555589"/>
    <w:rsid w:val="00565D23"/>
    <w:rsid w:val="00572A9B"/>
    <w:rsid w:val="005755AF"/>
    <w:rsid w:val="00581A4A"/>
    <w:rsid w:val="00582196"/>
    <w:rsid w:val="00583F09"/>
    <w:rsid w:val="00590BE3"/>
    <w:rsid w:val="00592910"/>
    <w:rsid w:val="00595070"/>
    <w:rsid w:val="00596987"/>
    <w:rsid w:val="005A0AB7"/>
    <w:rsid w:val="005A4349"/>
    <w:rsid w:val="005A6185"/>
    <w:rsid w:val="005B44C3"/>
    <w:rsid w:val="005B5BF9"/>
    <w:rsid w:val="005B768D"/>
    <w:rsid w:val="005C0BED"/>
    <w:rsid w:val="005D0143"/>
    <w:rsid w:val="005D0B89"/>
    <w:rsid w:val="005E542A"/>
    <w:rsid w:val="005F56EC"/>
    <w:rsid w:val="006023C2"/>
    <w:rsid w:val="00610776"/>
    <w:rsid w:val="00625E44"/>
    <w:rsid w:val="0062674C"/>
    <w:rsid w:val="00644B76"/>
    <w:rsid w:val="006517E0"/>
    <w:rsid w:val="00667ACD"/>
    <w:rsid w:val="006720A5"/>
    <w:rsid w:val="00673207"/>
    <w:rsid w:val="00673340"/>
    <w:rsid w:val="00677BD8"/>
    <w:rsid w:val="00682469"/>
    <w:rsid w:val="0069301D"/>
    <w:rsid w:val="00697C3B"/>
    <w:rsid w:val="006A5E5D"/>
    <w:rsid w:val="006A75E9"/>
    <w:rsid w:val="006B29A1"/>
    <w:rsid w:val="006B3440"/>
    <w:rsid w:val="006B348A"/>
    <w:rsid w:val="006B3BCF"/>
    <w:rsid w:val="006B3F29"/>
    <w:rsid w:val="006C558B"/>
    <w:rsid w:val="006C6E77"/>
    <w:rsid w:val="006D2135"/>
    <w:rsid w:val="006E26C7"/>
    <w:rsid w:val="006F0AEB"/>
    <w:rsid w:val="006F4C34"/>
    <w:rsid w:val="006F6930"/>
    <w:rsid w:val="00703C80"/>
    <w:rsid w:val="00704ECB"/>
    <w:rsid w:val="00713280"/>
    <w:rsid w:val="00714CFF"/>
    <w:rsid w:val="007204F6"/>
    <w:rsid w:val="0073003A"/>
    <w:rsid w:val="00742470"/>
    <w:rsid w:val="00753443"/>
    <w:rsid w:val="00754FEC"/>
    <w:rsid w:val="00756005"/>
    <w:rsid w:val="00760DB6"/>
    <w:rsid w:val="00773EEB"/>
    <w:rsid w:val="00773F9B"/>
    <w:rsid w:val="00774752"/>
    <w:rsid w:val="00775E33"/>
    <w:rsid w:val="00780648"/>
    <w:rsid w:val="0078686C"/>
    <w:rsid w:val="00792A12"/>
    <w:rsid w:val="00795222"/>
    <w:rsid w:val="00795DD8"/>
    <w:rsid w:val="007A4BB6"/>
    <w:rsid w:val="007A5CBE"/>
    <w:rsid w:val="007B3F5C"/>
    <w:rsid w:val="007C0045"/>
    <w:rsid w:val="007C3AE6"/>
    <w:rsid w:val="007D3BF1"/>
    <w:rsid w:val="007D57AC"/>
    <w:rsid w:val="007E4653"/>
    <w:rsid w:val="007E46D8"/>
    <w:rsid w:val="007F1195"/>
    <w:rsid w:val="007F2371"/>
    <w:rsid w:val="007F4CD0"/>
    <w:rsid w:val="007F5FA7"/>
    <w:rsid w:val="00800D8B"/>
    <w:rsid w:val="00805657"/>
    <w:rsid w:val="00807140"/>
    <w:rsid w:val="00810999"/>
    <w:rsid w:val="00827586"/>
    <w:rsid w:val="008325A4"/>
    <w:rsid w:val="0083642A"/>
    <w:rsid w:val="00846405"/>
    <w:rsid w:val="008465B3"/>
    <w:rsid w:val="00855772"/>
    <w:rsid w:val="00855A36"/>
    <w:rsid w:val="0085695C"/>
    <w:rsid w:val="00856F36"/>
    <w:rsid w:val="00864643"/>
    <w:rsid w:val="0086495F"/>
    <w:rsid w:val="00864F76"/>
    <w:rsid w:val="008719B6"/>
    <w:rsid w:val="00874397"/>
    <w:rsid w:val="00880F57"/>
    <w:rsid w:val="0088345E"/>
    <w:rsid w:val="008943DD"/>
    <w:rsid w:val="008949E2"/>
    <w:rsid w:val="00897F89"/>
    <w:rsid w:val="008A09C9"/>
    <w:rsid w:val="008A19CA"/>
    <w:rsid w:val="008A2638"/>
    <w:rsid w:val="008A300C"/>
    <w:rsid w:val="008A58C8"/>
    <w:rsid w:val="008B331B"/>
    <w:rsid w:val="008B345D"/>
    <w:rsid w:val="008B4F63"/>
    <w:rsid w:val="008C5536"/>
    <w:rsid w:val="008D31A4"/>
    <w:rsid w:val="008D4A5F"/>
    <w:rsid w:val="008D550F"/>
    <w:rsid w:val="008D6EBA"/>
    <w:rsid w:val="008E378A"/>
    <w:rsid w:val="008E5740"/>
    <w:rsid w:val="008F1DBF"/>
    <w:rsid w:val="008F2546"/>
    <w:rsid w:val="008F305F"/>
    <w:rsid w:val="0090039E"/>
    <w:rsid w:val="00900963"/>
    <w:rsid w:val="0090486B"/>
    <w:rsid w:val="00906496"/>
    <w:rsid w:val="00926DF6"/>
    <w:rsid w:val="00931D90"/>
    <w:rsid w:val="00935A04"/>
    <w:rsid w:val="009405F4"/>
    <w:rsid w:val="00942489"/>
    <w:rsid w:val="0094458A"/>
    <w:rsid w:val="00950506"/>
    <w:rsid w:val="00957545"/>
    <w:rsid w:val="00975389"/>
    <w:rsid w:val="00977F5E"/>
    <w:rsid w:val="009825B1"/>
    <w:rsid w:val="00983B8A"/>
    <w:rsid w:val="00987C06"/>
    <w:rsid w:val="009A4555"/>
    <w:rsid w:val="009B6B07"/>
    <w:rsid w:val="009C3B6F"/>
    <w:rsid w:val="009C422F"/>
    <w:rsid w:val="009C48B4"/>
    <w:rsid w:val="009C5E64"/>
    <w:rsid w:val="009D4028"/>
    <w:rsid w:val="009D460A"/>
    <w:rsid w:val="009D564F"/>
    <w:rsid w:val="009F1D6A"/>
    <w:rsid w:val="009F2449"/>
    <w:rsid w:val="00A0695F"/>
    <w:rsid w:val="00A073FD"/>
    <w:rsid w:val="00A10186"/>
    <w:rsid w:val="00A1200D"/>
    <w:rsid w:val="00A165BC"/>
    <w:rsid w:val="00A173DF"/>
    <w:rsid w:val="00A321FD"/>
    <w:rsid w:val="00A44CBC"/>
    <w:rsid w:val="00A44F32"/>
    <w:rsid w:val="00A512D7"/>
    <w:rsid w:val="00A52FCE"/>
    <w:rsid w:val="00A553A4"/>
    <w:rsid w:val="00A61DEB"/>
    <w:rsid w:val="00A6221C"/>
    <w:rsid w:val="00A72A7D"/>
    <w:rsid w:val="00A73540"/>
    <w:rsid w:val="00A74AB8"/>
    <w:rsid w:val="00A76A43"/>
    <w:rsid w:val="00A84609"/>
    <w:rsid w:val="00A94586"/>
    <w:rsid w:val="00AA2348"/>
    <w:rsid w:val="00AB3421"/>
    <w:rsid w:val="00AB46C7"/>
    <w:rsid w:val="00AB51E2"/>
    <w:rsid w:val="00AB60F0"/>
    <w:rsid w:val="00AC059A"/>
    <w:rsid w:val="00AC37CF"/>
    <w:rsid w:val="00AC5D16"/>
    <w:rsid w:val="00AD3CFC"/>
    <w:rsid w:val="00AE131F"/>
    <w:rsid w:val="00AE44F3"/>
    <w:rsid w:val="00AE5C7F"/>
    <w:rsid w:val="00AE7E2B"/>
    <w:rsid w:val="00AF268C"/>
    <w:rsid w:val="00AF2FE9"/>
    <w:rsid w:val="00AF338E"/>
    <w:rsid w:val="00B01123"/>
    <w:rsid w:val="00B049AF"/>
    <w:rsid w:val="00B12F62"/>
    <w:rsid w:val="00B21F38"/>
    <w:rsid w:val="00B25D6D"/>
    <w:rsid w:val="00B26D6D"/>
    <w:rsid w:val="00B37BF1"/>
    <w:rsid w:val="00B417E5"/>
    <w:rsid w:val="00B41FC0"/>
    <w:rsid w:val="00B469B5"/>
    <w:rsid w:val="00B47232"/>
    <w:rsid w:val="00B66088"/>
    <w:rsid w:val="00B6624D"/>
    <w:rsid w:val="00B8762C"/>
    <w:rsid w:val="00B87DE1"/>
    <w:rsid w:val="00B93409"/>
    <w:rsid w:val="00B97ACE"/>
    <w:rsid w:val="00BA002D"/>
    <w:rsid w:val="00BA174B"/>
    <w:rsid w:val="00BA3197"/>
    <w:rsid w:val="00BA42F8"/>
    <w:rsid w:val="00BA76E5"/>
    <w:rsid w:val="00BB031C"/>
    <w:rsid w:val="00BC2341"/>
    <w:rsid w:val="00BC27DE"/>
    <w:rsid w:val="00BC659A"/>
    <w:rsid w:val="00BD1C27"/>
    <w:rsid w:val="00BD7EE2"/>
    <w:rsid w:val="00BE1E36"/>
    <w:rsid w:val="00BE4891"/>
    <w:rsid w:val="00BF43B0"/>
    <w:rsid w:val="00C01B12"/>
    <w:rsid w:val="00C01E91"/>
    <w:rsid w:val="00C073EE"/>
    <w:rsid w:val="00C10BC1"/>
    <w:rsid w:val="00C110E8"/>
    <w:rsid w:val="00C163DA"/>
    <w:rsid w:val="00C20CD8"/>
    <w:rsid w:val="00C20DD2"/>
    <w:rsid w:val="00C25F5B"/>
    <w:rsid w:val="00C32F02"/>
    <w:rsid w:val="00C42112"/>
    <w:rsid w:val="00C446F4"/>
    <w:rsid w:val="00C451E8"/>
    <w:rsid w:val="00C55025"/>
    <w:rsid w:val="00C550DA"/>
    <w:rsid w:val="00C55573"/>
    <w:rsid w:val="00C56EE9"/>
    <w:rsid w:val="00C63523"/>
    <w:rsid w:val="00C6609E"/>
    <w:rsid w:val="00C663C5"/>
    <w:rsid w:val="00C6722F"/>
    <w:rsid w:val="00C750AD"/>
    <w:rsid w:val="00C84C65"/>
    <w:rsid w:val="00C86F6C"/>
    <w:rsid w:val="00C9421B"/>
    <w:rsid w:val="00CA3FC7"/>
    <w:rsid w:val="00CA58E4"/>
    <w:rsid w:val="00CA60D1"/>
    <w:rsid w:val="00CB1E93"/>
    <w:rsid w:val="00CB4D17"/>
    <w:rsid w:val="00CC619E"/>
    <w:rsid w:val="00CD66E1"/>
    <w:rsid w:val="00CD6E7E"/>
    <w:rsid w:val="00CE21C6"/>
    <w:rsid w:val="00CF2D61"/>
    <w:rsid w:val="00CF5FAD"/>
    <w:rsid w:val="00CF7C66"/>
    <w:rsid w:val="00D13937"/>
    <w:rsid w:val="00D17652"/>
    <w:rsid w:val="00D26899"/>
    <w:rsid w:val="00D314E0"/>
    <w:rsid w:val="00D37F09"/>
    <w:rsid w:val="00D46015"/>
    <w:rsid w:val="00D50FC1"/>
    <w:rsid w:val="00D5515A"/>
    <w:rsid w:val="00D64DDA"/>
    <w:rsid w:val="00D65DA9"/>
    <w:rsid w:val="00D70A56"/>
    <w:rsid w:val="00D7105F"/>
    <w:rsid w:val="00D8124C"/>
    <w:rsid w:val="00D82B62"/>
    <w:rsid w:val="00D96235"/>
    <w:rsid w:val="00DA3421"/>
    <w:rsid w:val="00DA42DC"/>
    <w:rsid w:val="00DA4A10"/>
    <w:rsid w:val="00DA5DC9"/>
    <w:rsid w:val="00DB0407"/>
    <w:rsid w:val="00DB7612"/>
    <w:rsid w:val="00DC25D1"/>
    <w:rsid w:val="00DD1631"/>
    <w:rsid w:val="00DD277F"/>
    <w:rsid w:val="00DD6A27"/>
    <w:rsid w:val="00DE2783"/>
    <w:rsid w:val="00DE59C3"/>
    <w:rsid w:val="00DE5E07"/>
    <w:rsid w:val="00DF20C2"/>
    <w:rsid w:val="00DF407F"/>
    <w:rsid w:val="00DF5F7E"/>
    <w:rsid w:val="00E03C60"/>
    <w:rsid w:val="00E154D6"/>
    <w:rsid w:val="00E15A50"/>
    <w:rsid w:val="00E205EC"/>
    <w:rsid w:val="00E22133"/>
    <w:rsid w:val="00E22C4B"/>
    <w:rsid w:val="00E2371F"/>
    <w:rsid w:val="00E2535B"/>
    <w:rsid w:val="00E32108"/>
    <w:rsid w:val="00E32B46"/>
    <w:rsid w:val="00E3490E"/>
    <w:rsid w:val="00E407C2"/>
    <w:rsid w:val="00E41E18"/>
    <w:rsid w:val="00E5702A"/>
    <w:rsid w:val="00E626B4"/>
    <w:rsid w:val="00E631EF"/>
    <w:rsid w:val="00E66BA0"/>
    <w:rsid w:val="00E80440"/>
    <w:rsid w:val="00E87DD0"/>
    <w:rsid w:val="00E92110"/>
    <w:rsid w:val="00EA30AC"/>
    <w:rsid w:val="00EA3EC2"/>
    <w:rsid w:val="00EA41AC"/>
    <w:rsid w:val="00EB1CA9"/>
    <w:rsid w:val="00EB3A15"/>
    <w:rsid w:val="00EB5EFA"/>
    <w:rsid w:val="00EB7B1F"/>
    <w:rsid w:val="00EC51B2"/>
    <w:rsid w:val="00ED1C47"/>
    <w:rsid w:val="00EE79C0"/>
    <w:rsid w:val="00EF0C5E"/>
    <w:rsid w:val="00F00FDE"/>
    <w:rsid w:val="00F07416"/>
    <w:rsid w:val="00F10B41"/>
    <w:rsid w:val="00F141D2"/>
    <w:rsid w:val="00F148F6"/>
    <w:rsid w:val="00F16E7F"/>
    <w:rsid w:val="00F21E03"/>
    <w:rsid w:val="00F21E26"/>
    <w:rsid w:val="00F2776E"/>
    <w:rsid w:val="00F27EC3"/>
    <w:rsid w:val="00F330FF"/>
    <w:rsid w:val="00F40636"/>
    <w:rsid w:val="00F4180B"/>
    <w:rsid w:val="00F44314"/>
    <w:rsid w:val="00F62663"/>
    <w:rsid w:val="00F645ED"/>
    <w:rsid w:val="00F646F6"/>
    <w:rsid w:val="00F64716"/>
    <w:rsid w:val="00F64E16"/>
    <w:rsid w:val="00F7417E"/>
    <w:rsid w:val="00F81338"/>
    <w:rsid w:val="00F857B7"/>
    <w:rsid w:val="00F923CB"/>
    <w:rsid w:val="00F96A14"/>
    <w:rsid w:val="00FA17AB"/>
    <w:rsid w:val="00FA3DF4"/>
    <w:rsid w:val="00FA4D8A"/>
    <w:rsid w:val="00FA55A8"/>
    <w:rsid w:val="00FA5E10"/>
    <w:rsid w:val="00FA66A0"/>
    <w:rsid w:val="00FB0EDC"/>
    <w:rsid w:val="00FB4CFC"/>
    <w:rsid w:val="00FC0BBA"/>
    <w:rsid w:val="00FC45F6"/>
    <w:rsid w:val="00FD792B"/>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762C"/>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A0D07-40B4-2D49-AACC-7EA17562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2786</Characters>
  <Application>Microsoft Macintosh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3268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2017-01-18T14:07:00Z</dcterms:created>
  <dcterms:modified xsi:type="dcterms:W3CDTF">2017-01-18T14:07:00Z</dcterms:modified>
  <cp:category/>
</cp:coreProperties>
</file>