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7462F" w14:textId="1918E925" w:rsidR="009F09EE" w:rsidRPr="00015739" w:rsidRDefault="00543352" w:rsidP="006E55AD">
      <w:pPr>
        <w:jc w:val="center"/>
        <w:rPr>
          <w:rFonts w:ascii="Verdana" w:hAnsi="Verdana"/>
          <w:b/>
          <w:szCs w:val="24"/>
        </w:rPr>
      </w:pPr>
      <w:r w:rsidRPr="00015739">
        <w:rPr>
          <w:rFonts w:ascii="Verdana" w:hAnsi="Verdana"/>
          <w:b/>
          <w:szCs w:val="24"/>
        </w:rPr>
        <w:t>NUOVA GAMMA DI QUADRI DA PARETE IP40</w:t>
      </w:r>
      <w:r w:rsidR="00F830D8" w:rsidRPr="00015739">
        <w:rPr>
          <w:rFonts w:ascii="Verdana" w:hAnsi="Verdana"/>
          <w:b/>
          <w:szCs w:val="24"/>
        </w:rPr>
        <w:t>:</w:t>
      </w:r>
    </w:p>
    <w:p w14:paraId="49AB4C43" w14:textId="02AA0118" w:rsidR="00F830D8" w:rsidRPr="00015739" w:rsidRDefault="00F830D8" w:rsidP="009F09EE">
      <w:pPr>
        <w:jc w:val="center"/>
        <w:rPr>
          <w:rFonts w:ascii="Verdana" w:hAnsi="Verdana"/>
          <w:b/>
          <w:szCs w:val="24"/>
        </w:rPr>
      </w:pPr>
      <w:r w:rsidRPr="00015739">
        <w:rPr>
          <w:rFonts w:ascii="Verdana" w:hAnsi="Verdana"/>
          <w:b/>
          <w:szCs w:val="24"/>
        </w:rPr>
        <w:t>FACILI DA INSTALLARE, PROGETTATI PER DURARE NEL TEMPO</w:t>
      </w:r>
    </w:p>
    <w:p w14:paraId="3309EC91" w14:textId="77777777" w:rsidR="009F09EE" w:rsidRDefault="009F09EE" w:rsidP="0017118F">
      <w:pPr>
        <w:suppressAutoHyphens w:val="0"/>
        <w:autoSpaceDE w:val="0"/>
        <w:rPr>
          <w:rFonts w:ascii="Verdana" w:hAnsi="Verdana"/>
          <w:b/>
          <w:bCs/>
          <w:i/>
          <w:sz w:val="22"/>
          <w:szCs w:val="22"/>
        </w:rPr>
      </w:pPr>
    </w:p>
    <w:p w14:paraId="32A3380E" w14:textId="77777777" w:rsidR="00015739" w:rsidRDefault="00F830D8" w:rsidP="00F830D8">
      <w:pPr>
        <w:suppressAutoHyphens w:val="0"/>
        <w:autoSpaceDE w:val="0"/>
        <w:jc w:val="center"/>
        <w:rPr>
          <w:rFonts w:ascii="Verdana" w:hAnsi="Verdana"/>
          <w:b/>
          <w:bCs/>
          <w:i/>
          <w:sz w:val="20"/>
          <w:szCs w:val="24"/>
        </w:rPr>
      </w:pPr>
      <w:r w:rsidRPr="00015739">
        <w:rPr>
          <w:rFonts w:ascii="Verdana" w:hAnsi="Verdana"/>
          <w:b/>
          <w:bCs/>
          <w:i/>
          <w:sz w:val="20"/>
          <w:szCs w:val="24"/>
        </w:rPr>
        <w:t xml:space="preserve">Disponibili in </w:t>
      </w:r>
      <w:r w:rsidRPr="00015739">
        <w:rPr>
          <w:rFonts w:ascii="Verdana" w:hAnsi="Verdana"/>
          <w:b/>
          <w:bCs/>
          <w:sz w:val="20"/>
          <w:szCs w:val="24"/>
        </w:rPr>
        <w:t>sette versioni, da 6 fino a 72 moduli DIN</w:t>
      </w:r>
      <w:r w:rsidRPr="00015739">
        <w:rPr>
          <w:rFonts w:ascii="Verdana" w:hAnsi="Verdana"/>
          <w:b/>
          <w:bCs/>
          <w:i/>
          <w:sz w:val="20"/>
          <w:szCs w:val="24"/>
        </w:rPr>
        <w:t xml:space="preserve">, questi dispositivi </w:t>
      </w:r>
    </w:p>
    <w:p w14:paraId="2FF84F91" w14:textId="77777777" w:rsidR="00015739" w:rsidRDefault="00015739" w:rsidP="00F830D8">
      <w:pPr>
        <w:suppressAutoHyphens w:val="0"/>
        <w:autoSpaceDE w:val="0"/>
        <w:jc w:val="center"/>
        <w:rPr>
          <w:rFonts w:ascii="Verdana" w:hAnsi="Verdana"/>
          <w:b/>
          <w:bCs/>
          <w:i/>
          <w:sz w:val="20"/>
          <w:szCs w:val="24"/>
        </w:rPr>
      </w:pPr>
      <w:r>
        <w:rPr>
          <w:rFonts w:ascii="Verdana" w:hAnsi="Verdana"/>
          <w:b/>
          <w:bCs/>
          <w:i/>
          <w:sz w:val="20"/>
          <w:szCs w:val="24"/>
        </w:rPr>
        <w:t>assicurano</w:t>
      </w:r>
      <w:r w:rsidR="00F830D8" w:rsidRPr="00015739">
        <w:rPr>
          <w:rFonts w:ascii="Verdana" w:hAnsi="Verdana"/>
          <w:b/>
          <w:bCs/>
          <w:i/>
          <w:sz w:val="20"/>
          <w:szCs w:val="24"/>
        </w:rPr>
        <w:t xml:space="preserve"> un’elevata resistenza meccanica e caratteristiche </w:t>
      </w:r>
      <w:r>
        <w:rPr>
          <w:rFonts w:ascii="Verdana" w:hAnsi="Verdana"/>
          <w:b/>
          <w:bCs/>
          <w:i/>
          <w:sz w:val="20"/>
          <w:szCs w:val="24"/>
        </w:rPr>
        <w:t xml:space="preserve">tecniche </w:t>
      </w:r>
    </w:p>
    <w:p w14:paraId="012F5661" w14:textId="048734ED" w:rsidR="00F830D8" w:rsidRPr="00015739" w:rsidRDefault="00F830D8" w:rsidP="00015739">
      <w:pPr>
        <w:suppressAutoHyphens w:val="0"/>
        <w:autoSpaceDE w:val="0"/>
        <w:jc w:val="center"/>
        <w:rPr>
          <w:rFonts w:ascii="Verdana" w:hAnsi="Verdana"/>
          <w:b/>
          <w:bCs/>
          <w:i/>
          <w:sz w:val="20"/>
          <w:szCs w:val="24"/>
        </w:rPr>
      </w:pPr>
      <w:r w:rsidRPr="00015739">
        <w:rPr>
          <w:rFonts w:ascii="Verdana" w:hAnsi="Verdana"/>
          <w:b/>
          <w:bCs/>
          <w:i/>
          <w:sz w:val="20"/>
          <w:szCs w:val="24"/>
        </w:rPr>
        <w:t>che agevolano il montaggio e il cablaggio da parte dell’installatore.</w:t>
      </w:r>
    </w:p>
    <w:p w14:paraId="60ABC6AB" w14:textId="77777777" w:rsidR="00015739" w:rsidRDefault="00015739" w:rsidP="00015739">
      <w:pPr>
        <w:rPr>
          <w:rFonts w:ascii="Verdana" w:hAnsi="Verdana"/>
          <w:szCs w:val="24"/>
        </w:rPr>
      </w:pPr>
    </w:p>
    <w:p w14:paraId="348C4261" w14:textId="07591CD8" w:rsidR="00BA54B6" w:rsidRDefault="009F09EE" w:rsidP="009F09EE">
      <w:pPr>
        <w:autoSpaceDE w:val="0"/>
        <w:jc w:val="both"/>
        <w:rPr>
          <w:rFonts w:ascii="Verdana" w:hAnsi="Verdana"/>
          <w:bCs/>
          <w:sz w:val="20"/>
        </w:rPr>
      </w:pPr>
      <w:r w:rsidRPr="00334798">
        <w:rPr>
          <w:rFonts w:ascii="Verdana" w:hAnsi="Verdana"/>
          <w:b/>
          <w:bCs/>
          <w:sz w:val="20"/>
        </w:rPr>
        <w:t xml:space="preserve">Ave </w:t>
      </w:r>
      <w:r w:rsidR="00015739">
        <w:rPr>
          <w:rFonts w:ascii="Verdana" w:hAnsi="Verdana"/>
          <w:b/>
          <w:bCs/>
          <w:sz w:val="20"/>
        </w:rPr>
        <w:t xml:space="preserve">presenta la </w:t>
      </w:r>
      <w:r w:rsidRPr="00334798">
        <w:rPr>
          <w:rFonts w:ascii="Verdana" w:hAnsi="Verdana"/>
          <w:b/>
          <w:bCs/>
          <w:sz w:val="20"/>
        </w:rPr>
        <w:t>nuova gamma di quadri da parete con grado di protezione IP</w:t>
      </w:r>
      <w:r>
        <w:rPr>
          <w:rFonts w:ascii="Verdana" w:hAnsi="Verdana"/>
          <w:b/>
          <w:bCs/>
          <w:sz w:val="20"/>
        </w:rPr>
        <w:t>40</w:t>
      </w:r>
      <w:r w:rsidR="0017118F">
        <w:rPr>
          <w:rFonts w:ascii="Verdana" w:hAnsi="Verdana"/>
          <w:bCs/>
          <w:sz w:val="20"/>
        </w:rPr>
        <w:t xml:space="preserve">, una serie di dispositivi </w:t>
      </w:r>
      <w:r w:rsidR="00BA54B6">
        <w:rPr>
          <w:rFonts w:ascii="Verdana" w:hAnsi="Verdana"/>
          <w:bCs/>
          <w:sz w:val="20"/>
        </w:rPr>
        <w:t>opportunamente progettati</w:t>
      </w:r>
      <w:r w:rsidR="00015739">
        <w:rPr>
          <w:rFonts w:ascii="Verdana" w:hAnsi="Verdana"/>
          <w:bCs/>
          <w:sz w:val="20"/>
        </w:rPr>
        <w:t xml:space="preserve"> per </w:t>
      </w:r>
      <w:r w:rsidR="00BA54B6">
        <w:rPr>
          <w:rFonts w:ascii="Verdana" w:hAnsi="Verdana"/>
          <w:bCs/>
          <w:sz w:val="20"/>
        </w:rPr>
        <w:t>andare incontro al</w:t>
      </w:r>
      <w:r w:rsidR="00015739">
        <w:rPr>
          <w:rFonts w:ascii="Verdana" w:hAnsi="Verdana"/>
          <w:bCs/>
          <w:sz w:val="20"/>
        </w:rPr>
        <w:t xml:space="preserve">le esigenze degli </w:t>
      </w:r>
      <w:r w:rsidR="00BA54B6">
        <w:rPr>
          <w:rFonts w:ascii="Verdana" w:hAnsi="Verdana"/>
          <w:bCs/>
          <w:sz w:val="20"/>
        </w:rPr>
        <w:t xml:space="preserve">impiantisti che </w:t>
      </w:r>
      <w:r w:rsidR="00845ABC">
        <w:rPr>
          <w:rFonts w:ascii="Verdana" w:hAnsi="Verdana"/>
          <w:bCs/>
          <w:sz w:val="20"/>
        </w:rPr>
        <w:t>hanno</w:t>
      </w:r>
      <w:r w:rsidR="00BA54B6">
        <w:rPr>
          <w:rFonts w:ascii="Verdana" w:hAnsi="Verdana"/>
          <w:bCs/>
          <w:sz w:val="20"/>
        </w:rPr>
        <w:t xml:space="preserve"> a loro disposizione </w:t>
      </w:r>
      <w:r w:rsidR="00C92442">
        <w:rPr>
          <w:rFonts w:ascii="Verdana" w:hAnsi="Verdana"/>
          <w:bCs/>
          <w:sz w:val="20"/>
        </w:rPr>
        <w:t>dei prodotti</w:t>
      </w:r>
      <w:r w:rsidR="00BA54B6">
        <w:rPr>
          <w:rFonts w:ascii="Verdana" w:hAnsi="Verdana"/>
          <w:bCs/>
          <w:sz w:val="20"/>
        </w:rPr>
        <w:t xml:space="preserve"> </w:t>
      </w:r>
      <w:r w:rsidR="00C92442">
        <w:rPr>
          <w:rFonts w:ascii="Verdana" w:hAnsi="Verdana"/>
          <w:bCs/>
          <w:sz w:val="20"/>
        </w:rPr>
        <w:t>facili</w:t>
      </w:r>
      <w:r w:rsidR="00BA54B6">
        <w:rPr>
          <w:rFonts w:ascii="Verdana" w:hAnsi="Verdana"/>
          <w:bCs/>
          <w:sz w:val="20"/>
        </w:rPr>
        <w:t xml:space="preserve"> da installare, </w:t>
      </w:r>
      <w:r w:rsidR="00C92442">
        <w:rPr>
          <w:rFonts w:ascii="Verdana" w:hAnsi="Verdana"/>
          <w:bCs/>
          <w:sz w:val="20"/>
        </w:rPr>
        <w:t>resistenti</w:t>
      </w:r>
      <w:r w:rsidR="00F073C9">
        <w:rPr>
          <w:rFonts w:ascii="Verdana" w:hAnsi="Verdana"/>
          <w:bCs/>
          <w:sz w:val="20"/>
        </w:rPr>
        <w:t xml:space="preserve">, flessibili </w:t>
      </w:r>
      <w:r w:rsidR="00BA54B6">
        <w:rPr>
          <w:rFonts w:ascii="Verdana" w:hAnsi="Verdana"/>
          <w:bCs/>
          <w:sz w:val="20"/>
        </w:rPr>
        <w:t>e</w:t>
      </w:r>
      <w:r w:rsidR="00C92442">
        <w:rPr>
          <w:rFonts w:ascii="Verdana" w:hAnsi="Verdana"/>
          <w:bCs/>
          <w:sz w:val="20"/>
        </w:rPr>
        <w:t xml:space="preserve"> </w:t>
      </w:r>
      <w:r w:rsidR="00F073C9">
        <w:rPr>
          <w:rFonts w:ascii="Verdana" w:hAnsi="Verdana"/>
          <w:bCs/>
          <w:sz w:val="20"/>
        </w:rPr>
        <w:t>per questo</w:t>
      </w:r>
      <w:r w:rsidR="00BA54B6">
        <w:rPr>
          <w:rFonts w:ascii="Verdana" w:hAnsi="Verdana"/>
          <w:bCs/>
          <w:sz w:val="20"/>
        </w:rPr>
        <w:t xml:space="preserve"> </w:t>
      </w:r>
      <w:r w:rsidR="00F073C9">
        <w:rPr>
          <w:rFonts w:ascii="Verdana" w:hAnsi="Verdana"/>
          <w:bCs/>
          <w:sz w:val="20"/>
        </w:rPr>
        <w:t>adatti ad essere</w:t>
      </w:r>
      <w:r w:rsidR="00BA54B6">
        <w:rPr>
          <w:rFonts w:ascii="Verdana" w:hAnsi="Verdana"/>
          <w:bCs/>
          <w:sz w:val="20"/>
        </w:rPr>
        <w:t xml:space="preserve"> </w:t>
      </w:r>
      <w:r w:rsidR="00C92442">
        <w:rPr>
          <w:rFonts w:ascii="Verdana" w:hAnsi="Verdana"/>
          <w:bCs/>
          <w:sz w:val="20"/>
        </w:rPr>
        <w:t>impiegati</w:t>
      </w:r>
      <w:r w:rsidR="00BA54B6">
        <w:rPr>
          <w:rFonts w:ascii="Verdana" w:hAnsi="Verdana"/>
          <w:bCs/>
          <w:sz w:val="20"/>
        </w:rPr>
        <w:t xml:space="preserve"> tanto in ambienti residenziali, quanto nel settore industriale.</w:t>
      </w:r>
    </w:p>
    <w:p w14:paraId="70C03E94" w14:textId="77777777" w:rsidR="00BA54B6" w:rsidRDefault="00BA54B6" w:rsidP="00BA54B6">
      <w:pPr>
        <w:autoSpaceDE w:val="0"/>
        <w:jc w:val="both"/>
        <w:rPr>
          <w:rFonts w:ascii="Verdana" w:hAnsi="Verdana"/>
          <w:bCs/>
          <w:sz w:val="20"/>
        </w:rPr>
      </w:pPr>
    </w:p>
    <w:p w14:paraId="4B1A7575" w14:textId="6BBCCE89" w:rsidR="00F073C9" w:rsidRDefault="00BA54B6" w:rsidP="00BA54B6">
      <w:pPr>
        <w:autoSpaceDE w:val="0"/>
        <w:jc w:val="both"/>
        <w:rPr>
          <w:rFonts w:ascii="Verdana" w:hAnsi="Verdana"/>
          <w:bCs/>
          <w:sz w:val="20"/>
        </w:rPr>
      </w:pPr>
      <w:r w:rsidRPr="007974F9">
        <w:rPr>
          <w:rFonts w:ascii="Verdana" w:hAnsi="Verdana"/>
          <w:b/>
          <w:bCs/>
          <w:sz w:val="20"/>
        </w:rPr>
        <w:t xml:space="preserve">La nuova </w:t>
      </w:r>
      <w:r w:rsidR="00BB38FD">
        <w:rPr>
          <w:rFonts w:ascii="Verdana" w:hAnsi="Verdana"/>
          <w:b/>
          <w:bCs/>
          <w:sz w:val="20"/>
        </w:rPr>
        <w:t>gamma di quadri IP40</w:t>
      </w:r>
      <w:r w:rsidRPr="007974F9">
        <w:rPr>
          <w:rFonts w:ascii="Verdana" w:hAnsi="Verdana"/>
          <w:b/>
          <w:bCs/>
          <w:sz w:val="20"/>
        </w:rPr>
        <w:t xml:space="preserve"> si compone di sette versioni da 6 fino a 72 moduli DIN</w:t>
      </w:r>
      <w:r w:rsidR="00BF5765">
        <w:rPr>
          <w:rFonts w:ascii="Verdana" w:hAnsi="Verdana"/>
          <w:bCs/>
          <w:sz w:val="20"/>
        </w:rPr>
        <w:t xml:space="preserve"> </w:t>
      </w:r>
      <w:r w:rsidR="0038400B">
        <w:rPr>
          <w:rFonts w:ascii="Verdana" w:hAnsi="Verdana"/>
          <w:bCs/>
          <w:sz w:val="20"/>
        </w:rPr>
        <w:t xml:space="preserve">e, </w:t>
      </w:r>
      <w:r w:rsidR="00BF5765">
        <w:rPr>
          <w:rFonts w:ascii="Verdana" w:hAnsi="Verdana"/>
          <w:bCs/>
          <w:sz w:val="20"/>
        </w:rPr>
        <w:t>a</w:t>
      </w:r>
      <w:r w:rsidR="00BB38FD">
        <w:rPr>
          <w:rFonts w:ascii="Verdana" w:hAnsi="Verdana"/>
          <w:bCs/>
          <w:sz w:val="20"/>
        </w:rPr>
        <w:t>mp</w:t>
      </w:r>
      <w:r w:rsidR="00BF5765">
        <w:rPr>
          <w:rFonts w:ascii="Verdana" w:hAnsi="Verdana"/>
          <w:bCs/>
          <w:sz w:val="20"/>
        </w:rPr>
        <w:t>l</w:t>
      </w:r>
      <w:r w:rsidR="00BB38FD">
        <w:rPr>
          <w:rFonts w:ascii="Verdana" w:hAnsi="Verdana"/>
          <w:bCs/>
          <w:sz w:val="20"/>
        </w:rPr>
        <w:t>ia</w:t>
      </w:r>
      <w:r w:rsidR="00BF5765">
        <w:rPr>
          <w:rFonts w:ascii="Verdana" w:hAnsi="Verdana"/>
          <w:bCs/>
          <w:sz w:val="20"/>
        </w:rPr>
        <w:t>ndo</w:t>
      </w:r>
      <w:r w:rsidR="00BB38FD">
        <w:rPr>
          <w:rFonts w:ascii="Verdana" w:hAnsi="Verdana"/>
          <w:bCs/>
          <w:sz w:val="20"/>
        </w:rPr>
        <w:t xml:space="preserve"> la quantità di soluzioni a catalogo, può rispondere alle più disparate necessità. Dal piccolo appartamento alla villa, fino all’impiantistica </w:t>
      </w:r>
      <w:r w:rsidR="005E535B">
        <w:rPr>
          <w:rFonts w:ascii="Verdana" w:hAnsi="Verdana"/>
          <w:bCs/>
          <w:sz w:val="20"/>
        </w:rPr>
        <w:t>desti</w:t>
      </w:r>
      <w:r w:rsidR="009F392B">
        <w:rPr>
          <w:rFonts w:ascii="Verdana" w:hAnsi="Verdana"/>
          <w:bCs/>
          <w:sz w:val="20"/>
        </w:rPr>
        <w:t>nata al</w:t>
      </w:r>
      <w:r w:rsidR="00C92442">
        <w:rPr>
          <w:rFonts w:ascii="Verdana" w:hAnsi="Verdana"/>
          <w:bCs/>
          <w:sz w:val="20"/>
        </w:rPr>
        <w:t xml:space="preserve"> terziario</w:t>
      </w:r>
      <w:r w:rsidR="00BB38FD">
        <w:rPr>
          <w:rFonts w:ascii="Verdana" w:hAnsi="Verdana"/>
          <w:bCs/>
          <w:sz w:val="20"/>
        </w:rPr>
        <w:t xml:space="preserve">, la serie IP40 </w:t>
      </w:r>
      <w:r w:rsidR="00C92442">
        <w:rPr>
          <w:rFonts w:ascii="Verdana" w:hAnsi="Verdana"/>
          <w:bCs/>
          <w:sz w:val="20"/>
        </w:rPr>
        <w:t>da parete</w:t>
      </w:r>
      <w:r w:rsidR="00BB38FD">
        <w:rPr>
          <w:rFonts w:ascii="Verdana" w:hAnsi="Verdana"/>
          <w:bCs/>
          <w:sz w:val="20"/>
        </w:rPr>
        <w:t xml:space="preserve"> si </w:t>
      </w:r>
      <w:r w:rsidR="00C92442">
        <w:rPr>
          <w:rFonts w:ascii="Verdana" w:hAnsi="Verdana"/>
          <w:bCs/>
          <w:sz w:val="20"/>
        </w:rPr>
        <w:t>presta ad essere inserita in</w:t>
      </w:r>
      <w:r w:rsidR="00BB38FD">
        <w:rPr>
          <w:rFonts w:ascii="Verdana" w:hAnsi="Verdana"/>
          <w:bCs/>
          <w:sz w:val="20"/>
        </w:rPr>
        <w:t xml:space="preserve"> </w:t>
      </w:r>
      <w:r w:rsidR="00C92442">
        <w:rPr>
          <w:rFonts w:ascii="Verdana" w:hAnsi="Verdana"/>
          <w:bCs/>
          <w:sz w:val="20"/>
        </w:rPr>
        <w:t>diversi ambiti. L’installatore può fare quindi affidamento su di un'unica gamma per tutti i progetti</w:t>
      </w:r>
      <w:r w:rsidR="00F073C9">
        <w:rPr>
          <w:rFonts w:ascii="Verdana" w:hAnsi="Verdana"/>
          <w:bCs/>
          <w:sz w:val="20"/>
        </w:rPr>
        <w:t xml:space="preserve"> che sta seguendo</w:t>
      </w:r>
      <w:r w:rsidR="00C92442">
        <w:rPr>
          <w:rFonts w:ascii="Verdana" w:hAnsi="Verdana"/>
          <w:bCs/>
          <w:sz w:val="20"/>
        </w:rPr>
        <w:t>,</w:t>
      </w:r>
      <w:r w:rsidR="00F073C9">
        <w:rPr>
          <w:rFonts w:ascii="Verdana" w:hAnsi="Verdana"/>
          <w:bCs/>
          <w:sz w:val="20"/>
        </w:rPr>
        <w:t xml:space="preserve"> assicurandosi sempre un prodotto all’altezza delle aspettative.</w:t>
      </w:r>
    </w:p>
    <w:p w14:paraId="429FDB19" w14:textId="77777777" w:rsidR="00F073C9" w:rsidRDefault="00F073C9" w:rsidP="00BA54B6">
      <w:pPr>
        <w:autoSpaceDE w:val="0"/>
        <w:jc w:val="both"/>
        <w:rPr>
          <w:rFonts w:ascii="Verdana" w:hAnsi="Verdana"/>
          <w:bCs/>
          <w:sz w:val="20"/>
        </w:rPr>
      </w:pPr>
    </w:p>
    <w:p w14:paraId="5C58587D" w14:textId="1EC1B9F8" w:rsidR="009F392B" w:rsidRDefault="00F073C9" w:rsidP="00F073C9">
      <w:pPr>
        <w:autoSpaceDE w:val="0"/>
        <w:jc w:val="both"/>
        <w:rPr>
          <w:rFonts w:ascii="Verdana" w:hAnsi="Verdana"/>
          <w:bCs/>
          <w:sz w:val="20"/>
        </w:rPr>
      </w:pPr>
      <w:r w:rsidRPr="00F073C9">
        <w:rPr>
          <w:rFonts w:ascii="Verdana" w:hAnsi="Verdana"/>
          <w:b/>
          <w:bCs/>
          <w:sz w:val="20"/>
        </w:rPr>
        <w:t>I quadri IP40 di Ave esibiscono delle caratteristiche tecniche che li rendono estremamente resistenti</w:t>
      </w:r>
      <w:r w:rsidR="009F392B">
        <w:rPr>
          <w:rFonts w:ascii="Verdana" w:hAnsi="Verdana"/>
          <w:b/>
          <w:bCs/>
          <w:sz w:val="20"/>
        </w:rPr>
        <w:t xml:space="preserve"> e durevoli</w:t>
      </w:r>
      <w:r w:rsidRPr="00F073C9">
        <w:rPr>
          <w:rFonts w:ascii="Verdana" w:hAnsi="Verdana"/>
          <w:b/>
          <w:bCs/>
          <w:sz w:val="20"/>
        </w:rPr>
        <w:t>.</w:t>
      </w:r>
      <w:r>
        <w:rPr>
          <w:rFonts w:ascii="Verdana" w:hAnsi="Verdana"/>
          <w:bCs/>
          <w:sz w:val="20"/>
        </w:rPr>
        <w:t xml:space="preserve"> Realizzati </w:t>
      </w:r>
      <w:r w:rsidR="00BA54B6">
        <w:rPr>
          <w:rFonts w:ascii="Verdana" w:hAnsi="Verdana"/>
          <w:bCs/>
          <w:sz w:val="20"/>
        </w:rPr>
        <w:t xml:space="preserve">in materiale plastico (PC/ABS) che </w:t>
      </w:r>
      <w:r>
        <w:rPr>
          <w:rFonts w:ascii="Verdana" w:hAnsi="Verdana"/>
          <w:bCs/>
          <w:sz w:val="20"/>
        </w:rPr>
        <w:t>garantisce</w:t>
      </w:r>
      <w:r w:rsidR="00BA54B6">
        <w:rPr>
          <w:rFonts w:ascii="Verdana" w:hAnsi="Verdana"/>
          <w:bCs/>
          <w:sz w:val="20"/>
        </w:rPr>
        <w:t xml:space="preserve"> una resi</w:t>
      </w:r>
      <w:r>
        <w:rPr>
          <w:rFonts w:ascii="Verdana" w:hAnsi="Verdana"/>
          <w:bCs/>
          <w:sz w:val="20"/>
        </w:rPr>
        <w:t xml:space="preserve">stenza agli urti con grado IK07, i nuovi quadri da parete offrono dunque un’elevata </w:t>
      </w:r>
      <w:r w:rsidRPr="00F073C9">
        <w:rPr>
          <w:rFonts w:ascii="Verdana" w:hAnsi="Verdana"/>
          <w:bCs/>
          <w:sz w:val="20"/>
        </w:rPr>
        <w:t xml:space="preserve">resistenza meccanica </w:t>
      </w:r>
      <w:r w:rsidR="00C620C0">
        <w:rPr>
          <w:rFonts w:ascii="Verdana" w:hAnsi="Verdana"/>
          <w:bCs/>
          <w:sz w:val="20"/>
        </w:rPr>
        <w:t>che ne assicura un’</w:t>
      </w:r>
      <w:r w:rsidR="00BF5765">
        <w:rPr>
          <w:rFonts w:ascii="Verdana" w:hAnsi="Verdana"/>
          <w:bCs/>
          <w:sz w:val="20"/>
        </w:rPr>
        <w:t>altrettanta</w:t>
      </w:r>
      <w:r w:rsidRPr="009F392B">
        <w:rPr>
          <w:rFonts w:ascii="Verdana" w:hAnsi="Verdana"/>
          <w:bCs/>
          <w:sz w:val="20"/>
        </w:rPr>
        <w:t xml:space="preserve"> elevata longevità nel tempo. </w:t>
      </w:r>
      <w:r w:rsidR="009F392B" w:rsidRPr="00F073C9">
        <w:rPr>
          <w:rFonts w:ascii="Verdana" w:hAnsi="Verdana"/>
          <w:bCs/>
          <w:sz w:val="20"/>
        </w:rPr>
        <w:t xml:space="preserve">L’affidabilità </w:t>
      </w:r>
      <w:r w:rsidR="009F392B">
        <w:rPr>
          <w:rFonts w:ascii="Verdana" w:hAnsi="Verdana"/>
          <w:bCs/>
          <w:sz w:val="20"/>
        </w:rPr>
        <w:t xml:space="preserve">del marchio Ave viene nuovamente confermata. </w:t>
      </w:r>
    </w:p>
    <w:p w14:paraId="17109845" w14:textId="77777777" w:rsidR="009F392B" w:rsidRDefault="009F392B" w:rsidP="00F073C9">
      <w:pPr>
        <w:autoSpaceDE w:val="0"/>
        <w:jc w:val="both"/>
        <w:rPr>
          <w:rFonts w:ascii="Verdana" w:hAnsi="Verdana"/>
          <w:b/>
          <w:bCs/>
          <w:sz w:val="20"/>
        </w:rPr>
      </w:pPr>
    </w:p>
    <w:p w14:paraId="5D50B96F" w14:textId="246CFE9E" w:rsidR="009F392B" w:rsidRDefault="009F392B" w:rsidP="009F392B">
      <w:pPr>
        <w:autoSpaceDE w:val="0"/>
        <w:jc w:val="both"/>
        <w:rPr>
          <w:rFonts w:ascii="Verdana" w:hAnsi="Verdana"/>
          <w:bCs/>
          <w:sz w:val="20"/>
        </w:rPr>
      </w:pPr>
      <w:r w:rsidRPr="009F392B">
        <w:rPr>
          <w:rFonts w:ascii="Verdana" w:hAnsi="Verdana"/>
          <w:bCs/>
          <w:sz w:val="20"/>
        </w:rPr>
        <w:t xml:space="preserve">In fase di progettazione, lo studio si è concentrato per offrire certamente dei prodotti flessibili ed affidabili, ma altresì </w:t>
      </w:r>
      <w:r w:rsidR="004372E1">
        <w:rPr>
          <w:rFonts w:ascii="Verdana" w:hAnsi="Verdana"/>
          <w:bCs/>
          <w:sz w:val="20"/>
        </w:rPr>
        <w:t xml:space="preserve">per garantire la massima praticità di utilizzo per gli addetti ai lavori. </w:t>
      </w:r>
      <w:r w:rsidRPr="00F20609">
        <w:rPr>
          <w:rFonts w:ascii="Verdana" w:hAnsi="Verdana"/>
          <w:b/>
          <w:bCs/>
          <w:sz w:val="20"/>
        </w:rPr>
        <w:t>I nuovi quadri IP</w:t>
      </w:r>
      <w:r>
        <w:rPr>
          <w:rFonts w:ascii="Verdana" w:hAnsi="Verdana"/>
          <w:b/>
          <w:bCs/>
          <w:sz w:val="20"/>
        </w:rPr>
        <w:t>40</w:t>
      </w:r>
      <w:r w:rsidRPr="00F20609">
        <w:rPr>
          <w:rFonts w:ascii="Verdana" w:hAnsi="Verdana"/>
          <w:b/>
          <w:bCs/>
          <w:sz w:val="20"/>
        </w:rPr>
        <w:t xml:space="preserve"> da parete presentano </w:t>
      </w:r>
      <w:r w:rsidR="004372E1">
        <w:rPr>
          <w:rFonts w:ascii="Verdana" w:hAnsi="Verdana"/>
          <w:b/>
          <w:bCs/>
          <w:sz w:val="20"/>
        </w:rPr>
        <w:t xml:space="preserve">così </w:t>
      </w:r>
      <w:r w:rsidRPr="00F20609">
        <w:rPr>
          <w:rFonts w:ascii="Verdana" w:hAnsi="Verdana"/>
          <w:b/>
          <w:bCs/>
          <w:sz w:val="20"/>
        </w:rPr>
        <w:t>una serie di caratteristiche innovative ed esclusive</w:t>
      </w:r>
      <w:r>
        <w:rPr>
          <w:rFonts w:ascii="Verdana" w:hAnsi="Verdana"/>
          <w:bCs/>
          <w:sz w:val="20"/>
        </w:rPr>
        <w:t>:</w:t>
      </w:r>
    </w:p>
    <w:p w14:paraId="71314718" w14:textId="77777777" w:rsidR="004372E1" w:rsidRDefault="004372E1" w:rsidP="009F392B">
      <w:pPr>
        <w:autoSpaceDE w:val="0"/>
        <w:jc w:val="both"/>
        <w:rPr>
          <w:rFonts w:ascii="Verdana" w:hAnsi="Verdana"/>
          <w:bCs/>
          <w:sz w:val="20"/>
        </w:rPr>
      </w:pPr>
    </w:p>
    <w:p w14:paraId="7CE6BAAD" w14:textId="77777777" w:rsidR="009F392B" w:rsidRPr="00BE5AA4" w:rsidRDefault="009F392B" w:rsidP="00BE5AA4">
      <w:pPr>
        <w:pStyle w:val="Paragrafoelenco"/>
        <w:numPr>
          <w:ilvl w:val="0"/>
          <w:numId w:val="9"/>
        </w:numPr>
        <w:suppressAutoHyphens w:val="0"/>
        <w:autoSpaceDE w:val="0"/>
        <w:ind w:left="567"/>
        <w:jc w:val="both"/>
        <w:rPr>
          <w:rFonts w:ascii="Verdana" w:hAnsi="Verdana"/>
          <w:bCs/>
          <w:sz w:val="20"/>
        </w:rPr>
      </w:pPr>
      <w:r w:rsidRPr="00BE5AA4">
        <w:rPr>
          <w:rFonts w:ascii="Verdana" w:hAnsi="Verdana"/>
          <w:bCs/>
          <w:sz w:val="20"/>
        </w:rPr>
        <w:t>Apertura del portello fino a 180°</w:t>
      </w:r>
    </w:p>
    <w:p w14:paraId="3A947982" w14:textId="77777777" w:rsidR="009F392B" w:rsidRPr="00BE5AA4" w:rsidRDefault="009F392B" w:rsidP="00BE5AA4">
      <w:pPr>
        <w:pStyle w:val="Paragrafoelenco"/>
        <w:numPr>
          <w:ilvl w:val="0"/>
          <w:numId w:val="9"/>
        </w:numPr>
        <w:suppressAutoHyphens w:val="0"/>
        <w:autoSpaceDE w:val="0"/>
        <w:ind w:left="567"/>
        <w:jc w:val="both"/>
        <w:rPr>
          <w:rFonts w:ascii="Verdana" w:hAnsi="Verdana"/>
          <w:bCs/>
          <w:sz w:val="20"/>
        </w:rPr>
      </w:pPr>
      <w:r w:rsidRPr="00BE5AA4">
        <w:rPr>
          <w:rFonts w:ascii="Verdana" w:hAnsi="Verdana"/>
          <w:bCs/>
          <w:sz w:val="20"/>
        </w:rPr>
        <w:t>Profilati rimovibili singolarmente</w:t>
      </w:r>
    </w:p>
    <w:p w14:paraId="6D06310A" w14:textId="77777777" w:rsidR="009F392B" w:rsidRPr="00BE5AA4" w:rsidRDefault="009F392B" w:rsidP="00BE5AA4">
      <w:pPr>
        <w:pStyle w:val="Paragrafoelenco"/>
        <w:numPr>
          <w:ilvl w:val="0"/>
          <w:numId w:val="9"/>
        </w:numPr>
        <w:suppressAutoHyphens w:val="0"/>
        <w:autoSpaceDE w:val="0"/>
        <w:ind w:left="567"/>
        <w:jc w:val="both"/>
        <w:rPr>
          <w:rFonts w:ascii="Verdana" w:hAnsi="Verdana"/>
          <w:bCs/>
          <w:sz w:val="20"/>
        </w:rPr>
      </w:pPr>
      <w:r w:rsidRPr="00BE5AA4">
        <w:rPr>
          <w:rFonts w:ascii="Verdana" w:hAnsi="Verdana"/>
          <w:bCs/>
          <w:sz w:val="20"/>
        </w:rPr>
        <w:t>Portello simmetrico e reversibile</w:t>
      </w:r>
    </w:p>
    <w:p w14:paraId="21942B0B" w14:textId="77777777" w:rsidR="009F392B" w:rsidRPr="00BE5AA4" w:rsidRDefault="009F392B" w:rsidP="00BE5AA4">
      <w:pPr>
        <w:pStyle w:val="Paragrafoelenco"/>
        <w:numPr>
          <w:ilvl w:val="0"/>
          <w:numId w:val="9"/>
        </w:numPr>
        <w:suppressAutoHyphens w:val="0"/>
        <w:autoSpaceDE w:val="0"/>
        <w:ind w:left="567"/>
        <w:jc w:val="both"/>
        <w:rPr>
          <w:rFonts w:ascii="Verdana" w:hAnsi="Verdana"/>
          <w:bCs/>
          <w:sz w:val="20"/>
        </w:rPr>
      </w:pPr>
      <w:proofErr w:type="spellStart"/>
      <w:r w:rsidRPr="00BE5AA4">
        <w:rPr>
          <w:rFonts w:ascii="Verdana" w:hAnsi="Verdana"/>
          <w:bCs/>
          <w:sz w:val="20"/>
        </w:rPr>
        <w:t>Prefratture</w:t>
      </w:r>
      <w:proofErr w:type="spellEnd"/>
      <w:r w:rsidRPr="00BE5AA4">
        <w:rPr>
          <w:rFonts w:ascii="Verdana" w:hAnsi="Verdana"/>
          <w:bCs/>
          <w:sz w:val="20"/>
        </w:rPr>
        <w:t xml:space="preserve"> laterali per il passaggio dei cavi</w:t>
      </w:r>
    </w:p>
    <w:p w14:paraId="4C4419BD" w14:textId="77777777" w:rsidR="009F392B" w:rsidRPr="00BE5AA4" w:rsidRDefault="009F392B" w:rsidP="00BE5AA4">
      <w:pPr>
        <w:pStyle w:val="Paragrafoelenco"/>
        <w:numPr>
          <w:ilvl w:val="0"/>
          <w:numId w:val="9"/>
        </w:numPr>
        <w:suppressAutoHyphens w:val="0"/>
        <w:autoSpaceDE w:val="0"/>
        <w:ind w:left="567"/>
        <w:jc w:val="both"/>
        <w:rPr>
          <w:rFonts w:ascii="Verdana" w:hAnsi="Verdana"/>
          <w:bCs/>
          <w:sz w:val="20"/>
        </w:rPr>
      </w:pPr>
      <w:r w:rsidRPr="00BE5AA4">
        <w:rPr>
          <w:rFonts w:ascii="Verdana" w:hAnsi="Verdana"/>
          <w:bCs/>
          <w:sz w:val="20"/>
        </w:rPr>
        <w:t>Predisposizione per il fissaggio delle morsettiere</w:t>
      </w:r>
    </w:p>
    <w:p w14:paraId="6B9C5235" w14:textId="77777777" w:rsidR="009F392B" w:rsidRPr="00BE5AA4" w:rsidRDefault="009F392B" w:rsidP="00BE5AA4">
      <w:pPr>
        <w:pStyle w:val="Paragrafoelenco"/>
        <w:numPr>
          <w:ilvl w:val="0"/>
          <w:numId w:val="9"/>
        </w:numPr>
        <w:suppressAutoHyphens w:val="0"/>
        <w:autoSpaceDE w:val="0"/>
        <w:ind w:left="567"/>
        <w:jc w:val="both"/>
        <w:rPr>
          <w:rFonts w:ascii="Verdana" w:hAnsi="Verdana"/>
          <w:bCs/>
          <w:sz w:val="20"/>
        </w:rPr>
      </w:pPr>
      <w:r w:rsidRPr="00BE5AA4">
        <w:rPr>
          <w:rFonts w:ascii="Verdana" w:hAnsi="Verdana"/>
          <w:bCs/>
          <w:sz w:val="20"/>
        </w:rPr>
        <w:t>Viti di fissaggio del coperchio dotate di dispositivo plastico per effettuare l’operazione di piombatura</w:t>
      </w:r>
      <w:bookmarkStart w:id="0" w:name="_GoBack"/>
      <w:bookmarkEnd w:id="0"/>
    </w:p>
    <w:p w14:paraId="3A3D50C7" w14:textId="77777777" w:rsidR="009F392B" w:rsidRDefault="009F392B" w:rsidP="00F073C9">
      <w:pPr>
        <w:autoSpaceDE w:val="0"/>
        <w:jc w:val="both"/>
        <w:rPr>
          <w:rFonts w:ascii="Verdana" w:hAnsi="Verdana"/>
          <w:b/>
          <w:bCs/>
          <w:sz w:val="20"/>
        </w:rPr>
      </w:pPr>
    </w:p>
    <w:p w14:paraId="49DFAE87" w14:textId="14CDE26C" w:rsidR="005E535B" w:rsidRDefault="009F392B" w:rsidP="006F4EA8">
      <w:pPr>
        <w:autoSpaceDE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L’installazione dell’intera gamma </w:t>
      </w:r>
      <w:r w:rsidR="004372E1">
        <w:rPr>
          <w:rFonts w:ascii="Verdana" w:hAnsi="Verdana"/>
          <w:b/>
          <w:bCs/>
          <w:sz w:val="20"/>
        </w:rPr>
        <w:t>risulta</w:t>
      </w:r>
      <w:r>
        <w:rPr>
          <w:rFonts w:ascii="Verdana" w:hAnsi="Verdana"/>
          <w:b/>
          <w:bCs/>
          <w:sz w:val="20"/>
        </w:rPr>
        <w:t xml:space="preserve"> facile, veloce, immediata. </w:t>
      </w:r>
      <w:r w:rsidRPr="009F392B">
        <w:rPr>
          <w:rFonts w:ascii="Verdana" w:hAnsi="Verdana"/>
          <w:bCs/>
          <w:sz w:val="20"/>
        </w:rPr>
        <w:t>Frutto di</w:t>
      </w:r>
      <w:r w:rsidR="004372E1">
        <w:rPr>
          <w:rFonts w:ascii="Verdana" w:hAnsi="Verdana"/>
          <w:bCs/>
          <w:sz w:val="20"/>
        </w:rPr>
        <w:t xml:space="preserve"> un costante impegno per offrire degli apparecchi semplici e al contempo sicuri, i quadri IP40 da parete</w:t>
      </w:r>
      <w:r w:rsidR="006F4EA8">
        <w:rPr>
          <w:rFonts w:ascii="Verdana" w:hAnsi="Verdana"/>
          <w:bCs/>
          <w:sz w:val="20"/>
        </w:rPr>
        <w:t>,</w:t>
      </w:r>
      <w:r w:rsidR="004372E1">
        <w:rPr>
          <w:rFonts w:ascii="Verdana" w:hAnsi="Verdana"/>
          <w:bCs/>
          <w:sz w:val="20"/>
        </w:rPr>
        <w:t xml:space="preserve"> grazie alle innumerev</w:t>
      </w:r>
      <w:r w:rsidR="006F4EA8">
        <w:rPr>
          <w:rFonts w:ascii="Verdana" w:hAnsi="Verdana"/>
          <w:bCs/>
          <w:sz w:val="20"/>
        </w:rPr>
        <w:t>oli predisposizioni tecniche e a</w:t>
      </w:r>
      <w:r w:rsidR="004372E1">
        <w:rPr>
          <w:rFonts w:ascii="Verdana" w:hAnsi="Verdana"/>
          <w:bCs/>
          <w:sz w:val="20"/>
        </w:rPr>
        <w:t xml:space="preserve">d ampi spazi di manovra, permettono </w:t>
      </w:r>
      <w:r w:rsidR="006F4EA8">
        <w:rPr>
          <w:rFonts w:ascii="Verdana" w:hAnsi="Verdana"/>
          <w:bCs/>
          <w:sz w:val="20"/>
        </w:rPr>
        <w:t>un montaggio e un cablaggio professionali, nel minor tempo possibile. L’installatore h</w:t>
      </w:r>
      <w:r w:rsidR="006E55AD">
        <w:rPr>
          <w:rFonts w:ascii="Verdana" w:hAnsi="Verdana"/>
          <w:bCs/>
          <w:sz w:val="20"/>
        </w:rPr>
        <w:t xml:space="preserve">a a sua disposizione una gamma </w:t>
      </w:r>
      <w:r w:rsidR="006F4EA8">
        <w:rPr>
          <w:rFonts w:ascii="Verdana" w:hAnsi="Verdana"/>
          <w:bCs/>
          <w:sz w:val="20"/>
        </w:rPr>
        <w:t>che gli permette di evitare inutili sforzi, risparmiare tempo e</w:t>
      </w:r>
      <w:r w:rsidR="005E535B">
        <w:rPr>
          <w:rFonts w:ascii="Verdana" w:hAnsi="Verdana"/>
          <w:bCs/>
          <w:sz w:val="20"/>
        </w:rPr>
        <w:t xml:space="preserve"> ridurre i costi d’installazione.</w:t>
      </w:r>
    </w:p>
    <w:p w14:paraId="57099D36" w14:textId="77777777" w:rsidR="005E535B" w:rsidRDefault="005E535B" w:rsidP="006F4EA8">
      <w:pPr>
        <w:autoSpaceDE w:val="0"/>
        <w:jc w:val="both"/>
        <w:rPr>
          <w:rFonts w:ascii="Verdana" w:hAnsi="Verdana"/>
          <w:bCs/>
          <w:sz w:val="20"/>
        </w:rPr>
      </w:pPr>
    </w:p>
    <w:p w14:paraId="13106372" w14:textId="5E74E261" w:rsidR="009F09EE" w:rsidRDefault="005E535B" w:rsidP="009F09EE">
      <w:pPr>
        <w:autoSpaceDE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Grazie alla nuova </w:t>
      </w:r>
      <w:r w:rsidRPr="00DE0D68">
        <w:rPr>
          <w:rFonts w:ascii="Verdana" w:hAnsi="Verdana"/>
          <w:b/>
          <w:bCs/>
          <w:sz w:val="20"/>
        </w:rPr>
        <w:t>gamma di quadri IP</w:t>
      </w:r>
      <w:r>
        <w:rPr>
          <w:rFonts w:ascii="Verdana" w:hAnsi="Verdana"/>
          <w:b/>
          <w:bCs/>
          <w:sz w:val="20"/>
        </w:rPr>
        <w:t>40 da parete</w:t>
      </w:r>
      <w:r>
        <w:rPr>
          <w:rFonts w:ascii="Verdana" w:hAnsi="Verdana"/>
          <w:bCs/>
          <w:sz w:val="20"/>
        </w:rPr>
        <w:t xml:space="preserve">, che </w:t>
      </w:r>
      <w:r w:rsidRPr="006E55AD">
        <w:rPr>
          <w:rFonts w:ascii="Verdana" w:hAnsi="Verdana"/>
          <w:b/>
          <w:bCs/>
          <w:sz w:val="20"/>
        </w:rPr>
        <w:t xml:space="preserve">si aggiunge alla già esistente </w:t>
      </w:r>
      <w:r w:rsidR="006F4EA8" w:rsidRPr="006E55AD">
        <w:rPr>
          <w:rFonts w:ascii="Verdana" w:hAnsi="Verdana"/>
          <w:b/>
          <w:bCs/>
          <w:sz w:val="20"/>
        </w:rPr>
        <w:t xml:space="preserve">gamma </w:t>
      </w:r>
      <w:r w:rsidRPr="006E55AD">
        <w:rPr>
          <w:rFonts w:ascii="Verdana" w:hAnsi="Verdana"/>
          <w:b/>
          <w:bCs/>
          <w:sz w:val="20"/>
        </w:rPr>
        <w:t xml:space="preserve">da parete con grado di protezione </w:t>
      </w:r>
      <w:r w:rsidR="006F4EA8" w:rsidRPr="006E55AD">
        <w:rPr>
          <w:rFonts w:ascii="Verdana" w:hAnsi="Verdana"/>
          <w:b/>
          <w:bCs/>
          <w:sz w:val="20"/>
        </w:rPr>
        <w:t>IP65</w:t>
      </w:r>
      <w:r w:rsidR="006F4EA8">
        <w:rPr>
          <w:rFonts w:ascii="Verdana" w:hAnsi="Verdana"/>
          <w:bCs/>
          <w:sz w:val="20"/>
        </w:rPr>
        <w:t xml:space="preserve">, </w:t>
      </w:r>
      <w:r w:rsidR="006F4EA8" w:rsidRPr="006E55AD">
        <w:rPr>
          <w:rFonts w:ascii="Verdana" w:hAnsi="Verdana"/>
          <w:bCs/>
          <w:sz w:val="20"/>
        </w:rPr>
        <w:t xml:space="preserve">Ave è riuscita a proporre una soluzione completa, </w:t>
      </w:r>
      <w:r w:rsidRPr="006E55AD">
        <w:rPr>
          <w:rFonts w:ascii="Verdana" w:hAnsi="Verdana"/>
          <w:bCs/>
          <w:sz w:val="20"/>
        </w:rPr>
        <w:t xml:space="preserve">altamente specializzata, </w:t>
      </w:r>
      <w:r w:rsidR="006F4EA8" w:rsidRPr="006E55AD">
        <w:rPr>
          <w:rFonts w:ascii="Verdana" w:hAnsi="Verdana"/>
          <w:bCs/>
          <w:sz w:val="20"/>
        </w:rPr>
        <w:t xml:space="preserve">semplice e funzionale, che soddisfa tutte le esigenze </w:t>
      </w:r>
      <w:proofErr w:type="spellStart"/>
      <w:r w:rsidR="006F4EA8" w:rsidRPr="006E55AD">
        <w:rPr>
          <w:rFonts w:ascii="Verdana" w:hAnsi="Verdana"/>
          <w:bCs/>
          <w:sz w:val="20"/>
        </w:rPr>
        <w:t>installative</w:t>
      </w:r>
      <w:proofErr w:type="spellEnd"/>
      <w:r w:rsidR="006F4EA8" w:rsidRPr="006E55AD">
        <w:rPr>
          <w:rFonts w:ascii="Verdana" w:hAnsi="Verdana"/>
          <w:bCs/>
          <w:sz w:val="20"/>
        </w:rPr>
        <w:t xml:space="preserve"> de</w:t>
      </w:r>
      <w:r w:rsidRPr="006E55AD">
        <w:rPr>
          <w:rFonts w:ascii="Verdana" w:hAnsi="Verdana"/>
          <w:bCs/>
          <w:sz w:val="20"/>
        </w:rPr>
        <w:t>l settore civile e industriale.</w:t>
      </w:r>
    </w:p>
    <w:p w14:paraId="3952E8C0" w14:textId="77777777" w:rsidR="006E55AD" w:rsidRDefault="006E55AD" w:rsidP="009F09EE">
      <w:pPr>
        <w:autoSpaceDE w:val="0"/>
        <w:jc w:val="both"/>
        <w:rPr>
          <w:rFonts w:ascii="Verdana" w:hAnsi="Verdana"/>
          <w:bCs/>
          <w:sz w:val="20"/>
        </w:rPr>
      </w:pPr>
    </w:p>
    <w:p w14:paraId="3CB7D1DC" w14:textId="72FAC307" w:rsidR="006E55AD" w:rsidRDefault="006E55AD" w:rsidP="009F09EE">
      <w:pPr>
        <w:autoSpaceDE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Rezzato, 17 </w:t>
      </w:r>
      <w:proofErr w:type="gramStart"/>
      <w:r>
        <w:rPr>
          <w:rFonts w:ascii="Verdana" w:hAnsi="Verdana"/>
          <w:bCs/>
          <w:sz w:val="20"/>
        </w:rPr>
        <w:t>Maggio</w:t>
      </w:r>
      <w:proofErr w:type="gramEnd"/>
      <w:r>
        <w:rPr>
          <w:rFonts w:ascii="Verdana" w:hAnsi="Verdana"/>
          <w:bCs/>
          <w:sz w:val="20"/>
        </w:rPr>
        <w:t xml:space="preserve"> 2016</w:t>
      </w:r>
    </w:p>
    <w:p w14:paraId="2CBD2B31" w14:textId="77777777" w:rsidR="00B146D3" w:rsidRPr="006E55AD" w:rsidRDefault="00B146D3" w:rsidP="009F09EE">
      <w:pPr>
        <w:autoSpaceDE w:val="0"/>
        <w:jc w:val="both"/>
        <w:rPr>
          <w:rFonts w:ascii="Verdana" w:hAnsi="Verdana"/>
          <w:b/>
          <w:bCs/>
          <w:sz w:val="20"/>
        </w:rPr>
      </w:pPr>
    </w:p>
    <w:p w14:paraId="7988D156" w14:textId="7583EE28" w:rsidR="00543352" w:rsidRPr="005E535B" w:rsidRDefault="00543352" w:rsidP="006E55AD">
      <w:pPr>
        <w:jc w:val="center"/>
        <w:rPr>
          <w:rFonts w:ascii="Verdana" w:hAnsi="Verdana"/>
          <w:sz w:val="20"/>
          <w:szCs w:val="24"/>
        </w:rPr>
      </w:pPr>
      <w:r w:rsidRPr="005E535B">
        <w:rPr>
          <w:rFonts w:ascii="Verdana" w:hAnsi="Verdana"/>
          <w:sz w:val="20"/>
          <w:szCs w:val="24"/>
        </w:rPr>
        <w:t>www.ave.it</w:t>
      </w:r>
    </w:p>
    <w:sectPr w:rsidR="00543352" w:rsidRPr="005E535B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D8D35" w14:textId="77777777" w:rsidR="00190632" w:rsidRDefault="00190632" w:rsidP="00BD1C27">
      <w:r>
        <w:separator/>
      </w:r>
    </w:p>
  </w:endnote>
  <w:endnote w:type="continuationSeparator" w:id="0">
    <w:p w14:paraId="746F2D13" w14:textId="77777777" w:rsidR="00190632" w:rsidRDefault="0019063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3B92A" w14:textId="77777777" w:rsidR="00190632" w:rsidRDefault="00190632" w:rsidP="00BD1C27">
      <w:r>
        <w:separator/>
      </w:r>
    </w:p>
  </w:footnote>
  <w:footnote w:type="continuationSeparator" w:id="0">
    <w:p w14:paraId="6B9BBE19" w14:textId="77777777" w:rsidR="00190632" w:rsidRDefault="0019063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4021"/>
    <w:multiLevelType w:val="hybridMultilevel"/>
    <w:tmpl w:val="E03AA9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F0B87"/>
    <w:multiLevelType w:val="hybridMultilevel"/>
    <w:tmpl w:val="E8BAAC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15739"/>
    <w:rsid w:val="00050B51"/>
    <w:rsid w:val="00052505"/>
    <w:rsid w:val="00053D56"/>
    <w:rsid w:val="000657F4"/>
    <w:rsid w:val="00076113"/>
    <w:rsid w:val="0008413D"/>
    <w:rsid w:val="00085719"/>
    <w:rsid w:val="00091A28"/>
    <w:rsid w:val="000A57CD"/>
    <w:rsid w:val="000B345B"/>
    <w:rsid w:val="000D60DF"/>
    <w:rsid w:val="00111F06"/>
    <w:rsid w:val="001136FC"/>
    <w:rsid w:val="00122B7C"/>
    <w:rsid w:val="00124FDF"/>
    <w:rsid w:val="0012772F"/>
    <w:rsid w:val="00127ACF"/>
    <w:rsid w:val="00145524"/>
    <w:rsid w:val="00163C05"/>
    <w:rsid w:val="0016607F"/>
    <w:rsid w:val="0017118F"/>
    <w:rsid w:val="00190632"/>
    <w:rsid w:val="001B20D1"/>
    <w:rsid w:val="001B39DC"/>
    <w:rsid w:val="001C5A45"/>
    <w:rsid w:val="001D6BF5"/>
    <w:rsid w:val="001E79EE"/>
    <w:rsid w:val="001F1E6B"/>
    <w:rsid w:val="001F3896"/>
    <w:rsid w:val="0024423A"/>
    <w:rsid w:val="002551E2"/>
    <w:rsid w:val="00272E63"/>
    <w:rsid w:val="0029004F"/>
    <w:rsid w:val="00292268"/>
    <w:rsid w:val="002D4CA2"/>
    <w:rsid w:val="002D66B5"/>
    <w:rsid w:val="00315A7F"/>
    <w:rsid w:val="003220DE"/>
    <w:rsid w:val="003251CC"/>
    <w:rsid w:val="003435C3"/>
    <w:rsid w:val="00365C0D"/>
    <w:rsid w:val="00371527"/>
    <w:rsid w:val="0037223A"/>
    <w:rsid w:val="00375836"/>
    <w:rsid w:val="0038400B"/>
    <w:rsid w:val="00386D12"/>
    <w:rsid w:val="003B507C"/>
    <w:rsid w:val="003C3E05"/>
    <w:rsid w:val="003C6C11"/>
    <w:rsid w:val="003D423F"/>
    <w:rsid w:val="003F75B4"/>
    <w:rsid w:val="003F7AB8"/>
    <w:rsid w:val="00420B6A"/>
    <w:rsid w:val="004313F5"/>
    <w:rsid w:val="004372E1"/>
    <w:rsid w:val="0045580C"/>
    <w:rsid w:val="004675E6"/>
    <w:rsid w:val="004754BA"/>
    <w:rsid w:val="00483985"/>
    <w:rsid w:val="004846DC"/>
    <w:rsid w:val="004977E2"/>
    <w:rsid w:val="004A0B25"/>
    <w:rsid w:val="004C6A12"/>
    <w:rsid w:val="004C72CB"/>
    <w:rsid w:val="004D71FC"/>
    <w:rsid w:val="004E5EE3"/>
    <w:rsid w:val="004F052E"/>
    <w:rsid w:val="0050014A"/>
    <w:rsid w:val="0051414C"/>
    <w:rsid w:val="00525003"/>
    <w:rsid w:val="00534D99"/>
    <w:rsid w:val="005378DC"/>
    <w:rsid w:val="00543352"/>
    <w:rsid w:val="005446B7"/>
    <w:rsid w:val="00572A9B"/>
    <w:rsid w:val="00581A4A"/>
    <w:rsid w:val="00583F09"/>
    <w:rsid w:val="00590BE3"/>
    <w:rsid w:val="00596987"/>
    <w:rsid w:val="005A6185"/>
    <w:rsid w:val="005B3281"/>
    <w:rsid w:val="005B768D"/>
    <w:rsid w:val="005E535B"/>
    <w:rsid w:val="005E542A"/>
    <w:rsid w:val="005F56EC"/>
    <w:rsid w:val="00613ADD"/>
    <w:rsid w:val="0062674C"/>
    <w:rsid w:val="00644B76"/>
    <w:rsid w:val="006517E0"/>
    <w:rsid w:val="00655159"/>
    <w:rsid w:val="00673207"/>
    <w:rsid w:val="00677BD8"/>
    <w:rsid w:val="0069301D"/>
    <w:rsid w:val="006A5E5D"/>
    <w:rsid w:val="006B3440"/>
    <w:rsid w:val="006B348A"/>
    <w:rsid w:val="006C6E77"/>
    <w:rsid w:val="006E55AD"/>
    <w:rsid w:val="006F2C1B"/>
    <w:rsid w:val="006F4EA8"/>
    <w:rsid w:val="00703C80"/>
    <w:rsid w:val="00713280"/>
    <w:rsid w:val="00773F9B"/>
    <w:rsid w:val="00775E33"/>
    <w:rsid w:val="00795222"/>
    <w:rsid w:val="00795DD8"/>
    <w:rsid w:val="007A5CBE"/>
    <w:rsid w:val="007B3F5C"/>
    <w:rsid w:val="007C3AE6"/>
    <w:rsid w:val="007D3BF1"/>
    <w:rsid w:val="007E46D8"/>
    <w:rsid w:val="007F2371"/>
    <w:rsid w:val="00800D8B"/>
    <w:rsid w:val="00810999"/>
    <w:rsid w:val="00827586"/>
    <w:rsid w:val="00845ABC"/>
    <w:rsid w:val="00846405"/>
    <w:rsid w:val="008465B3"/>
    <w:rsid w:val="00856F36"/>
    <w:rsid w:val="00864643"/>
    <w:rsid w:val="00864F76"/>
    <w:rsid w:val="00880F57"/>
    <w:rsid w:val="0088345E"/>
    <w:rsid w:val="008A2638"/>
    <w:rsid w:val="008B4D21"/>
    <w:rsid w:val="008B4F63"/>
    <w:rsid w:val="008D31A4"/>
    <w:rsid w:val="008D550F"/>
    <w:rsid w:val="008E378A"/>
    <w:rsid w:val="008F2546"/>
    <w:rsid w:val="008F305F"/>
    <w:rsid w:val="0090039E"/>
    <w:rsid w:val="00900963"/>
    <w:rsid w:val="0090486B"/>
    <w:rsid w:val="0094458A"/>
    <w:rsid w:val="00957545"/>
    <w:rsid w:val="00975389"/>
    <w:rsid w:val="00983B8A"/>
    <w:rsid w:val="00987C06"/>
    <w:rsid w:val="009B4B7A"/>
    <w:rsid w:val="009C3B6F"/>
    <w:rsid w:val="009C422F"/>
    <w:rsid w:val="009F09EE"/>
    <w:rsid w:val="009F2449"/>
    <w:rsid w:val="009F392B"/>
    <w:rsid w:val="00A0695F"/>
    <w:rsid w:val="00A073FD"/>
    <w:rsid w:val="00A10186"/>
    <w:rsid w:val="00A44CBC"/>
    <w:rsid w:val="00A44F32"/>
    <w:rsid w:val="00A52FCE"/>
    <w:rsid w:val="00A61DEB"/>
    <w:rsid w:val="00A72A7D"/>
    <w:rsid w:val="00A84609"/>
    <w:rsid w:val="00AA2348"/>
    <w:rsid w:val="00AB51E2"/>
    <w:rsid w:val="00AC059A"/>
    <w:rsid w:val="00AC37CF"/>
    <w:rsid w:val="00AE44F3"/>
    <w:rsid w:val="00B049AF"/>
    <w:rsid w:val="00B12F62"/>
    <w:rsid w:val="00B146D3"/>
    <w:rsid w:val="00B21F38"/>
    <w:rsid w:val="00B25D6D"/>
    <w:rsid w:val="00B26D6D"/>
    <w:rsid w:val="00B37BF1"/>
    <w:rsid w:val="00B417E5"/>
    <w:rsid w:val="00B41FC0"/>
    <w:rsid w:val="00B47232"/>
    <w:rsid w:val="00B66088"/>
    <w:rsid w:val="00BA174B"/>
    <w:rsid w:val="00BA54B6"/>
    <w:rsid w:val="00BB38FD"/>
    <w:rsid w:val="00BD1C27"/>
    <w:rsid w:val="00BE5AA4"/>
    <w:rsid w:val="00BF43B0"/>
    <w:rsid w:val="00BF5765"/>
    <w:rsid w:val="00C01E91"/>
    <w:rsid w:val="00C10BC1"/>
    <w:rsid w:val="00C20CD8"/>
    <w:rsid w:val="00C25F5B"/>
    <w:rsid w:val="00C620C0"/>
    <w:rsid w:val="00C750AD"/>
    <w:rsid w:val="00C92442"/>
    <w:rsid w:val="00C9421B"/>
    <w:rsid w:val="00CA60D1"/>
    <w:rsid w:val="00CB4D17"/>
    <w:rsid w:val="00D13937"/>
    <w:rsid w:val="00D5515A"/>
    <w:rsid w:val="00D8124C"/>
    <w:rsid w:val="00DB0407"/>
    <w:rsid w:val="00DC25D1"/>
    <w:rsid w:val="00DD117A"/>
    <w:rsid w:val="00DD1631"/>
    <w:rsid w:val="00DD277F"/>
    <w:rsid w:val="00DE5E07"/>
    <w:rsid w:val="00DF407F"/>
    <w:rsid w:val="00E154D6"/>
    <w:rsid w:val="00E5702A"/>
    <w:rsid w:val="00E631EF"/>
    <w:rsid w:val="00E80440"/>
    <w:rsid w:val="00EA30AC"/>
    <w:rsid w:val="00EA41AC"/>
    <w:rsid w:val="00EB1CA9"/>
    <w:rsid w:val="00EB7B1F"/>
    <w:rsid w:val="00ED13DD"/>
    <w:rsid w:val="00ED1C47"/>
    <w:rsid w:val="00EF0C5E"/>
    <w:rsid w:val="00EF0DCA"/>
    <w:rsid w:val="00F00FDE"/>
    <w:rsid w:val="00F073C9"/>
    <w:rsid w:val="00F07416"/>
    <w:rsid w:val="00F141D2"/>
    <w:rsid w:val="00F21E03"/>
    <w:rsid w:val="00F62663"/>
    <w:rsid w:val="00F7417E"/>
    <w:rsid w:val="00F81338"/>
    <w:rsid w:val="00F830D8"/>
    <w:rsid w:val="00F923CB"/>
    <w:rsid w:val="00FA55A8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21AEBB-4B30-E245-ADD7-385AE12A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2016-05-18T13:14:00Z</dcterms:created>
  <dcterms:modified xsi:type="dcterms:W3CDTF">2016-05-18T13:16:00Z</dcterms:modified>
  <cp:category/>
</cp:coreProperties>
</file>