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6339" w14:textId="77777777" w:rsidR="00231AAA" w:rsidRPr="00C74FAD" w:rsidRDefault="00231AAA" w:rsidP="005B6F0C">
      <w:pPr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bookmarkEnd w:id="0"/>
    </w:p>
    <w:p w14:paraId="60814A3C" w14:textId="77777777" w:rsidR="0059324A" w:rsidRPr="00C74FAD" w:rsidRDefault="00FD0E7B" w:rsidP="0059324A">
      <w:pPr>
        <w:jc w:val="center"/>
        <w:rPr>
          <w:rFonts w:ascii="Verdana" w:hAnsi="Verdana"/>
          <w:b/>
          <w:color w:val="000000"/>
          <w:sz w:val="28"/>
          <w:szCs w:val="22"/>
        </w:rPr>
      </w:pPr>
      <w:r w:rsidRPr="00C74FAD">
        <w:rPr>
          <w:rFonts w:ascii="Verdana" w:hAnsi="Verdana"/>
          <w:b/>
          <w:color w:val="000000"/>
          <w:sz w:val="28"/>
          <w:szCs w:val="22"/>
        </w:rPr>
        <w:t>Scatole di derivazione da parete SD &amp; SDL IP44 e IP65: massima protezione contro acqua e</w:t>
      </w:r>
      <w:r w:rsidR="00252C27" w:rsidRPr="00C74FAD">
        <w:rPr>
          <w:rFonts w:ascii="Verdana" w:hAnsi="Verdana"/>
          <w:b/>
          <w:color w:val="000000"/>
          <w:sz w:val="28"/>
          <w:szCs w:val="22"/>
        </w:rPr>
        <w:t xml:space="preserve"> </w:t>
      </w:r>
      <w:r w:rsidRPr="00C74FAD">
        <w:rPr>
          <w:rFonts w:ascii="Verdana" w:hAnsi="Verdana"/>
          <w:b/>
          <w:color w:val="000000"/>
          <w:sz w:val="28"/>
          <w:szCs w:val="22"/>
        </w:rPr>
        <w:t>polvere</w:t>
      </w:r>
    </w:p>
    <w:p w14:paraId="5B09D967" w14:textId="77777777" w:rsidR="009747A4" w:rsidRDefault="009747A4" w:rsidP="009747A4">
      <w:pPr>
        <w:pStyle w:val="p1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Helvetica" w:hAnsi="Helvetica"/>
          <w:color w:val="818181"/>
          <w:sz w:val="21"/>
          <w:szCs w:val="21"/>
          <w:bdr w:val="none" w:sz="0" w:space="0" w:color="auto" w:frame="1"/>
        </w:rPr>
      </w:pPr>
    </w:p>
    <w:p w14:paraId="23E63D0E" w14:textId="77777777" w:rsidR="0059324A" w:rsidRPr="00AD3362" w:rsidRDefault="0059324A" w:rsidP="00FC4B4E">
      <w:pPr>
        <w:autoSpaceDE w:val="0"/>
        <w:jc w:val="center"/>
        <w:rPr>
          <w:rFonts w:ascii="Verdana" w:hAnsi="Verdana"/>
          <w:b/>
          <w:bCs/>
          <w:i/>
          <w:sz w:val="22"/>
        </w:rPr>
      </w:pPr>
      <w:r w:rsidRPr="00AD3362">
        <w:rPr>
          <w:rFonts w:ascii="Verdana" w:hAnsi="Verdana"/>
          <w:b/>
          <w:bCs/>
          <w:i/>
          <w:sz w:val="22"/>
        </w:rPr>
        <w:t xml:space="preserve">Disponibili in </w:t>
      </w:r>
      <w:r w:rsidR="00AD3362" w:rsidRPr="00AD3362">
        <w:rPr>
          <w:rFonts w:ascii="Verdana" w:hAnsi="Verdana"/>
          <w:b/>
          <w:bCs/>
          <w:i/>
          <w:sz w:val="22"/>
        </w:rPr>
        <w:t xml:space="preserve">15 </w:t>
      </w:r>
      <w:r w:rsidR="00A02D90">
        <w:rPr>
          <w:rFonts w:ascii="Verdana" w:hAnsi="Verdana"/>
          <w:b/>
          <w:bCs/>
          <w:i/>
          <w:sz w:val="22"/>
        </w:rPr>
        <w:t>versioni</w:t>
      </w:r>
      <w:r w:rsidRPr="00AD3362">
        <w:rPr>
          <w:rFonts w:ascii="Verdana" w:hAnsi="Verdana"/>
          <w:b/>
          <w:bCs/>
          <w:i/>
          <w:sz w:val="22"/>
        </w:rPr>
        <w:t xml:space="preserve"> </w:t>
      </w:r>
      <w:r w:rsidR="00AD3362">
        <w:rPr>
          <w:rFonts w:ascii="Verdana" w:hAnsi="Verdana"/>
          <w:b/>
          <w:bCs/>
          <w:i/>
          <w:sz w:val="22"/>
        </w:rPr>
        <w:t>diverse</w:t>
      </w:r>
      <w:r w:rsidRPr="00AD3362">
        <w:rPr>
          <w:rFonts w:ascii="Verdana" w:hAnsi="Verdana"/>
          <w:b/>
          <w:bCs/>
          <w:i/>
          <w:sz w:val="22"/>
        </w:rPr>
        <w:t xml:space="preserve">, questi dispositivi assicurano </w:t>
      </w:r>
      <w:r w:rsidR="00FC4B4E">
        <w:rPr>
          <w:rFonts w:ascii="Verdana" w:hAnsi="Verdana"/>
          <w:b/>
          <w:bCs/>
          <w:i/>
          <w:sz w:val="22"/>
        </w:rPr>
        <w:t xml:space="preserve">un’elevata </w:t>
      </w:r>
      <w:r w:rsidRPr="00AD3362">
        <w:rPr>
          <w:rFonts w:ascii="Verdana" w:hAnsi="Verdana"/>
          <w:b/>
          <w:bCs/>
          <w:i/>
          <w:sz w:val="22"/>
        </w:rPr>
        <w:t>resistenza meccanica e caratteristiche tecniche che agevolano l’installazione</w:t>
      </w:r>
      <w:r w:rsidR="00FC4B4E">
        <w:rPr>
          <w:rFonts w:ascii="Verdana" w:hAnsi="Verdana"/>
          <w:b/>
          <w:bCs/>
          <w:i/>
          <w:sz w:val="22"/>
        </w:rPr>
        <w:t>, possibile</w:t>
      </w:r>
      <w:r w:rsidR="00184EDA">
        <w:rPr>
          <w:rFonts w:ascii="Verdana" w:hAnsi="Verdana"/>
          <w:b/>
          <w:bCs/>
          <w:i/>
          <w:sz w:val="22"/>
        </w:rPr>
        <w:t xml:space="preserve"> sia</w:t>
      </w:r>
      <w:r w:rsidR="00FC4B4E">
        <w:rPr>
          <w:rFonts w:ascii="Verdana" w:hAnsi="Verdana"/>
          <w:b/>
          <w:bCs/>
          <w:i/>
          <w:sz w:val="22"/>
        </w:rPr>
        <w:t xml:space="preserve"> </w:t>
      </w:r>
      <w:r w:rsidR="00184EDA">
        <w:rPr>
          <w:rFonts w:ascii="Verdana" w:hAnsi="Verdana"/>
          <w:b/>
          <w:bCs/>
          <w:i/>
          <w:sz w:val="22"/>
        </w:rPr>
        <w:t xml:space="preserve">a </w:t>
      </w:r>
      <w:r w:rsidR="00FC4B4E">
        <w:rPr>
          <w:rFonts w:ascii="Verdana" w:hAnsi="Verdana"/>
          <w:b/>
          <w:bCs/>
          <w:i/>
          <w:sz w:val="22"/>
        </w:rPr>
        <w:t xml:space="preserve">parete </w:t>
      </w:r>
      <w:r w:rsidR="00184EDA">
        <w:rPr>
          <w:rFonts w:ascii="Verdana" w:hAnsi="Verdana"/>
          <w:b/>
          <w:bCs/>
          <w:i/>
          <w:sz w:val="22"/>
        </w:rPr>
        <w:t xml:space="preserve">sia </w:t>
      </w:r>
      <w:r w:rsidR="00FC4B4E">
        <w:rPr>
          <w:rFonts w:ascii="Verdana" w:hAnsi="Verdana"/>
          <w:b/>
          <w:bCs/>
          <w:i/>
          <w:sz w:val="22"/>
        </w:rPr>
        <w:t>a semi-incasso.</w:t>
      </w:r>
    </w:p>
    <w:p w14:paraId="52C1067F" w14:textId="77777777" w:rsidR="00252C27" w:rsidRPr="00C74FAD" w:rsidRDefault="00252C27" w:rsidP="00CD23FE">
      <w:pPr>
        <w:rPr>
          <w:rFonts w:ascii="Verdana" w:hAnsi="Verdana"/>
          <w:color w:val="000000"/>
          <w:sz w:val="20"/>
          <w:szCs w:val="20"/>
        </w:rPr>
      </w:pPr>
    </w:p>
    <w:p w14:paraId="522309C2" w14:textId="77777777" w:rsidR="00FC4B4E" w:rsidRDefault="00A02D90" w:rsidP="00A02D90">
      <w:pPr>
        <w:autoSpaceDE w:val="0"/>
        <w:rPr>
          <w:rFonts w:ascii="Verdana" w:hAnsi="Verdana"/>
          <w:bCs/>
          <w:sz w:val="20"/>
        </w:rPr>
      </w:pPr>
      <w:r w:rsidRPr="00C74FAD">
        <w:rPr>
          <w:rFonts w:ascii="Verdana" w:hAnsi="Verdana"/>
          <w:color w:val="000000"/>
          <w:sz w:val="20"/>
          <w:szCs w:val="20"/>
        </w:rPr>
        <w:t xml:space="preserve">Le </w:t>
      </w:r>
      <w:r w:rsidR="002F2A28" w:rsidRPr="00C74FAD">
        <w:rPr>
          <w:rFonts w:ascii="Verdana" w:hAnsi="Verdana"/>
          <w:b/>
          <w:color w:val="000000"/>
          <w:sz w:val="20"/>
          <w:szCs w:val="20"/>
        </w:rPr>
        <w:t xml:space="preserve">scatole di derivazione da parete SD &amp; SDL </w:t>
      </w:r>
      <w:r w:rsidR="00602C18" w:rsidRPr="00C74FAD">
        <w:rPr>
          <w:rFonts w:ascii="Verdana" w:hAnsi="Verdana"/>
          <w:b/>
          <w:color w:val="000000"/>
          <w:sz w:val="20"/>
          <w:szCs w:val="20"/>
        </w:rPr>
        <w:t>IP</w:t>
      </w:r>
      <w:r w:rsidR="00AD3362" w:rsidRPr="00C74FAD">
        <w:rPr>
          <w:rFonts w:ascii="Verdana" w:hAnsi="Verdana"/>
          <w:b/>
          <w:color w:val="000000"/>
          <w:sz w:val="20"/>
          <w:szCs w:val="20"/>
        </w:rPr>
        <w:t>44 e IP65</w:t>
      </w:r>
      <w:r w:rsidR="00AD3362" w:rsidRPr="00C74FAD">
        <w:rPr>
          <w:rFonts w:ascii="Verdana" w:hAnsi="Verdana"/>
          <w:color w:val="000000"/>
          <w:sz w:val="20"/>
          <w:szCs w:val="20"/>
        </w:rPr>
        <w:t xml:space="preserve"> </w:t>
      </w:r>
      <w:r w:rsidRPr="00C74FAD">
        <w:rPr>
          <w:rFonts w:ascii="Verdana" w:hAnsi="Verdana"/>
          <w:color w:val="000000"/>
          <w:sz w:val="20"/>
          <w:szCs w:val="20"/>
        </w:rPr>
        <w:t>sono state</w:t>
      </w:r>
      <w:r w:rsidR="00AD3362" w:rsidRPr="00C74FAD">
        <w:rPr>
          <w:rFonts w:ascii="Verdana" w:hAnsi="Verdana"/>
          <w:color w:val="000000"/>
          <w:sz w:val="20"/>
          <w:szCs w:val="20"/>
        </w:rPr>
        <w:t xml:space="preserve"> progettat</w:t>
      </w:r>
      <w:r w:rsidRPr="00C74FAD">
        <w:rPr>
          <w:rFonts w:ascii="Verdana" w:hAnsi="Verdana"/>
          <w:color w:val="000000"/>
          <w:sz w:val="20"/>
          <w:szCs w:val="20"/>
        </w:rPr>
        <w:t>e</w:t>
      </w:r>
      <w:r w:rsidR="002F2A28">
        <w:rPr>
          <w:rFonts w:ascii="Verdana" w:hAnsi="Verdana"/>
          <w:bCs/>
          <w:sz w:val="20"/>
        </w:rPr>
        <w:t xml:space="preserve"> per </w:t>
      </w:r>
      <w:r>
        <w:rPr>
          <w:rFonts w:ascii="Verdana" w:hAnsi="Verdana"/>
          <w:bCs/>
          <w:sz w:val="20"/>
        </w:rPr>
        <w:t xml:space="preserve">assicurare la </w:t>
      </w:r>
      <w:r w:rsidRPr="004465D6">
        <w:rPr>
          <w:rFonts w:ascii="Verdana" w:hAnsi="Verdana"/>
          <w:b/>
          <w:bCs/>
          <w:sz w:val="20"/>
        </w:rPr>
        <w:t>massima protezione contro acqua e polvere</w:t>
      </w:r>
      <w:r>
        <w:rPr>
          <w:rFonts w:ascii="Verdana" w:hAnsi="Verdana"/>
          <w:bCs/>
          <w:sz w:val="20"/>
        </w:rPr>
        <w:t xml:space="preserve">; gli </w:t>
      </w:r>
      <w:r w:rsidR="002F2A28">
        <w:rPr>
          <w:rFonts w:ascii="Verdana" w:hAnsi="Verdana"/>
          <w:bCs/>
          <w:sz w:val="20"/>
        </w:rPr>
        <w:t>impiantisti</w:t>
      </w:r>
      <w:r>
        <w:rPr>
          <w:rFonts w:ascii="Verdana" w:hAnsi="Verdana"/>
          <w:bCs/>
          <w:sz w:val="20"/>
        </w:rPr>
        <w:t xml:space="preserve"> </w:t>
      </w:r>
      <w:r w:rsidR="002F2A28">
        <w:rPr>
          <w:rFonts w:ascii="Verdana" w:hAnsi="Verdana"/>
          <w:bCs/>
          <w:sz w:val="20"/>
        </w:rPr>
        <w:t xml:space="preserve">hanno a loro disposizione dei prodotti facili da installare, resistenti, flessibili e per questo adatti ad essere impiegati </w:t>
      </w:r>
      <w:r w:rsidR="00FC4B4E">
        <w:rPr>
          <w:rFonts w:ascii="Verdana" w:hAnsi="Verdana"/>
          <w:bCs/>
          <w:sz w:val="20"/>
        </w:rPr>
        <w:t xml:space="preserve">sia nel settore terziario e industriale, sia in ambito civile. </w:t>
      </w:r>
    </w:p>
    <w:p w14:paraId="253A263A" w14:textId="77777777" w:rsidR="00EC7A22" w:rsidRDefault="00EC7A22" w:rsidP="00A02D90">
      <w:pPr>
        <w:autoSpaceDE w:val="0"/>
        <w:rPr>
          <w:rFonts w:ascii="Verdana" w:hAnsi="Verdana"/>
          <w:bCs/>
          <w:sz w:val="20"/>
        </w:rPr>
      </w:pPr>
    </w:p>
    <w:p w14:paraId="42D9553D" w14:textId="77777777" w:rsidR="00EC7A22" w:rsidRDefault="0032281F" w:rsidP="00A02D90">
      <w:pPr>
        <w:autoSpaceDE w:val="0"/>
        <w:rPr>
          <w:rFonts w:ascii="Verdana" w:hAnsi="Verdana"/>
          <w:bCs/>
          <w:sz w:val="20"/>
        </w:rPr>
      </w:pPr>
      <w:r w:rsidRPr="00EC7A22">
        <w:rPr>
          <w:rFonts w:ascii="Verdana" w:hAnsi="Verdana"/>
          <w:bCs/>
          <w:sz w:val="20"/>
        </w:rPr>
        <w:t>L’installatore può fare affidamento su di un'unica gamma per tutti i progetti che sta seguendo</w:t>
      </w:r>
      <w:r>
        <w:rPr>
          <w:rFonts w:ascii="Verdana" w:hAnsi="Verdana"/>
          <w:bCs/>
          <w:sz w:val="20"/>
        </w:rPr>
        <w:t xml:space="preserve">. </w:t>
      </w:r>
      <w:r w:rsidR="00A02D90" w:rsidRPr="00A02D90">
        <w:rPr>
          <w:rFonts w:ascii="Verdana" w:hAnsi="Verdana"/>
          <w:bCs/>
          <w:sz w:val="20"/>
        </w:rPr>
        <w:t xml:space="preserve">Le </w:t>
      </w:r>
      <w:r w:rsidR="00602C18" w:rsidRPr="00A02D90">
        <w:rPr>
          <w:rFonts w:ascii="Verdana" w:hAnsi="Verdana"/>
          <w:bCs/>
          <w:sz w:val="20"/>
        </w:rPr>
        <w:t xml:space="preserve">scatole di derivazione da parete SD &amp; SDL </w:t>
      </w:r>
      <w:r w:rsidR="00A02D90" w:rsidRPr="0032281F">
        <w:rPr>
          <w:rFonts w:ascii="Verdana" w:hAnsi="Verdana"/>
          <w:bCs/>
          <w:sz w:val="20"/>
        </w:rPr>
        <w:t xml:space="preserve">sono </w:t>
      </w:r>
      <w:r w:rsidRPr="0032281F">
        <w:rPr>
          <w:rFonts w:ascii="Verdana" w:hAnsi="Verdana"/>
          <w:bCs/>
          <w:sz w:val="20"/>
        </w:rPr>
        <w:t>infatti</w:t>
      </w:r>
      <w:r>
        <w:rPr>
          <w:rFonts w:ascii="Verdana" w:hAnsi="Verdana"/>
          <w:b/>
          <w:bCs/>
          <w:sz w:val="20"/>
        </w:rPr>
        <w:t xml:space="preserve"> </w:t>
      </w:r>
      <w:r w:rsidR="00A02D90" w:rsidRPr="00A02D90">
        <w:rPr>
          <w:rFonts w:ascii="Verdana" w:hAnsi="Verdana"/>
          <w:b/>
          <w:bCs/>
          <w:sz w:val="20"/>
        </w:rPr>
        <w:t>disponibili in</w:t>
      </w:r>
      <w:r w:rsidR="00602C18" w:rsidRPr="00A02D90">
        <w:rPr>
          <w:rFonts w:ascii="Verdana" w:hAnsi="Verdana"/>
          <w:b/>
          <w:bCs/>
          <w:sz w:val="20"/>
        </w:rPr>
        <w:t xml:space="preserve"> 15 versioni</w:t>
      </w:r>
      <w:r w:rsidR="00D04E83" w:rsidRPr="00F76FD9">
        <w:rPr>
          <w:rFonts w:ascii="Verdana" w:hAnsi="Verdana"/>
          <w:bCs/>
          <w:sz w:val="20"/>
        </w:rPr>
        <w:t xml:space="preserve">, </w:t>
      </w:r>
      <w:r w:rsidR="00F76FD9" w:rsidRPr="00F76FD9">
        <w:rPr>
          <w:rFonts w:ascii="Verdana" w:hAnsi="Verdana"/>
          <w:bCs/>
          <w:sz w:val="20"/>
        </w:rPr>
        <w:t>distinte per dimensioni</w:t>
      </w:r>
      <w:r w:rsidR="00EC7A22">
        <w:rPr>
          <w:rFonts w:ascii="Verdana" w:hAnsi="Verdana"/>
          <w:bCs/>
          <w:sz w:val="20"/>
        </w:rPr>
        <w:t>:</w:t>
      </w:r>
    </w:p>
    <w:p w14:paraId="26A7DAA8" w14:textId="77777777" w:rsidR="00BE23EF" w:rsidRDefault="00BE23EF" w:rsidP="00A02D90">
      <w:pPr>
        <w:autoSpaceDE w:val="0"/>
        <w:rPr>
          <w:rFonts w:ascii="Verdana" w:hAnsi="Verdana"/>
          <w:bCs/>
          <w:sz w:val="20"/>
        </w:rPr>
      </w:pPr>
    </w:p>
    <w:p w14:paraId="107C1C2D" w14:textId="77777777" w:rsidR="00EC7A22" w:rsidRPr="00BE23EF" w:rsidRDefault="00BE23EF" w:rsidP="00BE23EF">
      <w:pPr>
        <w:pStyle w:val="Paragrafoelenco"/>
        <w:numPr>
          <w:ilvl w:val="0"/>
          <w:numId w:val="49"/>
        </w:numPr>
        <w:autoSpaceDE w:val="0"/>
        <w:rPr>
          <w:rFonts w:ascii="Verdana" w:hAnsi="Verdana"/>
          <w:bCs/>
          <w:sz w:val="20"/>
        </w:rPr>
      </w:pPr>
      <w:r w:rsidRPr="00C74FAD">
        <w:rPr>
          <w:rFonts w:ascii="Verdana" w:eastAsia="MS Mincho" w:hAnsi="Verdana"/>
          <w:bCs/>
          <w:sz w:val="20"/>
        </w:rPr>
        <w:t>tre dimensioni IP44 con coperchio a pressione;</w:t>
      </w:r>
    </w:p>
    <w:p w14:paraId="0451A638" w14:textId="77777777" w:rsidR="00EC7A22" w:rsidRPr="007A70BD" w:rsidRDefault="00A02D90" w:rsidP="00EC7A22">
      <w:pPr>
        <w:pStyle w:val="Paragrafoelenco"/>
        <w:numPr>
          <w:ilvl w:val="0"/>
          <w:numId w:val="49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sei di</w:t>
      </w:r>
      <w:r w:rsidR="00EC7A22" w:rsidRPr="007A70BD">
        <w:rPr>
          <w:rFonts w:ascii="Verdana" w:hAnsi="Verdana"/>
          <w:bCs/>
          <w:sz w:val="20"/>
        </w:rPr>
        <w:t>mensioni con pareti lisce IP65;</w:t>
      </w:r>
    </w:p>
    <w:p w14:paraId="4B626AD7" w14:textId="77777777" w:rsidR="00EC7A22" w:rsidRPr="007A70BD" w:rsidRDefault="00A02D90" w:rsidP="00BE23EF">
      <w:pPr>
        <w:pStyle w:val="Paragrafoelenco"/>
        <w:numPr>
          <w:ilvl w:val="0"/>
          <w:numId w:val="49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sei dimensioni con passacavi IP65</w:t>
      </w:r>
      <w:r w:rsidR="00BE23EF" w:rsidRPr="007A70BD">
        <w:rPr>
          <w:rFonts w:ascii="Verdana" w:hAnsi="Verdana"/>
          <w:bCs/>
          <w:sz w:val="20"/>
        </w:rPr>
        <w:t>.</w:t>
      </w:r>
    </w:p>
    <w:p w14:paraId="19A9924C" w14:textId="77777777" w:rsidR="00EC7A22" w:rsidRPr="007A70BD" w:rsidRDefault="00EC7A22" w:rsidP="00EC7A22">
      <w:pPr>
        <w:autoSpaceDE w:val="0"/>
        <w:rPr>
          <w:rFonts w:ascii="Verdana" w:hAnsi="Verdana"/>
          <w:bCs/>
          <w:sz w:val="20"/>
        </w:rPr>
      </w:pPr>
    </w:p>
    <w:p w14:paraId="195E3F6F" w14:textId="77777777" w:rsidR="00AD3362" w:rsidRPr="007A70BD" w:rsidRDefault="004465D6" w:rsidP="002F2A28">
      <w:p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Le scatole di derivazione AVE</w:t>
      </w:r>
      <w:r w:rsidR="00A02D90" w:rsidRPr="007A70BD">
        <w:rPr>
          <w:rFonts w:ascii="Verdana" w:hAnsi="Verdana"/>
          <w:bCs/>
          <w:sz w:val="20"/>
        </w:rPr>
        <w:t xml:space="preserve"> esibiscono </w:t>
      </w:r>
      <w:r w:rsidR="00EC7A22" w:rsidRPr="007A70BD">
        <w:rPr>
          <w:rFonts w:ascii="Verdana" w:hAnsi="Verdana"/>
          <w:bCs/>
          <w:sz w:val="20"/>
        </w:rPr>
        <w:t xml:space="preserve">infatti </w:t>
      </w:r>
      <w:r w:rsidR="00A02D90" w:rsidRPr="007A70BD">
        <w:rPr>
          <w:rFonts w:ascii="Verdana" w:hAnsi="Verdana"/>
          <w:bCs/>
          <w:sz w:val="20"/>
        </w:rPr>
        <w:t>delle</w:t>
      </w:r>
      <w:r w:rsidRPr="007A70BD">
        <w:rPr>
          <w:rFonts w:ascii="Verdana" w:hAnsi="Verdana"/>
          <w:bCs/>
          <w:sz w:val="20"/>
        </w:rPr>
        <w:t xml:space="preserve"> caratteristiche tecniche che le</w:t>
      </w:r>
      <w:r w:rsidR="00A02D90" w:rsidRPr="007A70BD">
        <w:rPr>
          <w:rFonts w:ascii="Verdana" w:hAnsi="Verdana"/>
          <w:bCs/>
          <w:sz w:val="20"/>
        </w:rPr>
        <w:t xml:space="preserve"> rendono</w:t>
      </w:r>
      <w:r w:rsidR="00A02D90" w:rsidRPr="007A70BD">
        <w:rPr>
          <w:rFonts w:ascii="Verdana" w:hAnsi="Verdana"/>
          <w:b/>
          <w:bCs/>
          <w:sz w:val="20"/>
        </w:rPr>
        <w:t xml:space="preserve"> estremamente resistenti e durevoli</w:t>
      </w:r>
      <w:r w:rsidR="00A02D90" w:rsidRPr="007A70BD">
        <w:rPr>
          <w:rFonts w:ascii="Verdana" w:hAnsi="Verdana"/>
          <w:bCs/>
          <w:sz w:val="20"/>
        </w:rPr>
        <w:t>.</w:t>
      </w:r>
      <w:r w:rsidRPr="007A70BD">
        <w:rPr>
          <w:rFonts w:ascii="Verdana" w:hAnsi="Verdana"/>
          <w:bCs/>
          <w:sz w:val="20"/>
        </w:rPr>
        <w:t xml:space="preserve"> </w:t>
      </w:r>
      <w:r w:rsidR="00EC7A22" w:rsidRPr="007A70BD">
        <w:rPr>
          <w:rFonts w:ascii="Verdana" w:hAnsi="Verdana"/>
          <w:bCs/>
          <w:sz w:val="20"/>
        </w:rPr>
        <w:t>Realizzate in materiale plastico (ABS)</w:t>
      </w:r>
      <w:r w:rsidR="00F912D0" w:rsidRPr="007A70BD">
        <w:rPr>
          <w:rFonts w:ascii="Verdana" w:hAnsi="Verdana"/>
          <w:bCs/>
          <w:sz w:val="20"/>
        </w:rPr>
        <w:t xml:space="preserve"> Hf (</w:t>
      </w:r>
      <w:proofErr w:type="spellStart"/>
      <w:r w:rsidR="00F912D0" w:rsidRPr="007A70BD">
        <w:rPr>
          <w:rFonts w:ascii="Verdana" w:hAnsi="Verdana"/>
          <w:bCs/>
          <w:sz w:val="20"/>
        </w:rPr>
        <w:t>halogen</w:t>
      </w:r>
      <w:proofErr w:type="spellEnd"/>
      <w:r w:rsidR="00F912D0" w:rsidRPr="007A70BD">
        <w:rPr>
          <w:rFonts w:ascii="Verdana" w:hAnsi="Verdana"/>
          <w:bCs/>
          <w:sz w:val="20"/>
        </w:rPr>
        <w:t xml:space="preserve"> free)</w:t>
      </w:r>
      <w:r w:rsidR="00EC7A22" w:rsidRPr="007A70BD">
        <w:rPr>
          <w:rFonts w:ascii="Verdana" w:hAnsi="Verdana"/>
          <w:bCs/>
          <w:sz w:val="20"/>
        </w:rPr>
        <w:t>,</w:t>
      </w:r>
      <w:r w:rsidR="00A02D90" w:rsidRPr="007A70BD">
        <w:rPr>
          <w:rFonts w:ascii="Verdana" w:hAnsi="Verdana"/>
          <w:bCs/>
          <w:sz w:val="20"/>
        </w:rPr>
        <w:t xml:space="preserve"> che garantisce una </w:t>
      </w:r>
      <w:r w:rsidR="00A02D90" w:rsidRPr="007A70BD">
        <w:rPr>
          <w:rFonts w:ascii="Verdana" w:hAnsi="Verdana"/>
          <w:b/>
          <w:bCs/>
          <w:sz w:val="20"/>
        </w:rPr>
        <w:t>resi</w:t>
      </w:r>
      <w:r w:rsidRPr="007A70BD">
        <w:rPr>
          <w:rFonts w:ascii="Verdana" w:hAnsi="Verdana"/>
          <w:b/>
          <w:bCs/>
          <w:sz w:val="20"/>
        </w:rPr>
        <w:t xml:space="preserve">stenza agli urti </w:t>
      </w:r>
      <w:r w:rsidRPr="007A70BD">
        <w:rPr>
          <w:rFonts w:ascii="Verdana" w:hAnsi="Verdana"/>
          <w:bCs/>
          <w:sz w:val="20"/>
        </w:rPr>
        <w:t>con grado IK08</w:t>
      </w:r>
      <w:r w:rsidR="00A02D90" w:rsidRPr="007A70BD">
        <w:rPr>
          <w:rFonts w:ascii="Verdana" w:hAnsi="Verdana"/>
          <w:bCs/>
          <w:sz w:val="20"/>
        </w:rPr>
        <w:t xml:space="preserve">, </w:t>
      </w:r>
      <w:r w:rsidRPr="007A70BD">
        <w:rPr>
          <w:rFonts w:ascii="Verdana" w:hAnsi="Verdana"/>
          <w:bCs/>
          <w:sz w:val="20"/>
        </w:rPr>
        <w:t xml:space="preserve">le scatole di derivazione SD &amp; SDL </w:t>
      </w:r>
      <w:r w:rsidR="00A02D90" w:rsidRPr="007A70BD">
        <w:rPr>
          <w:rFonts w:ascii="Verdana" w:hAnsi="Verdana"/>
          <w:bCs/>
          <w:sz w:val="20"/>
        </w:rPr>
        <w:t>offrono un’elevata resistenza meccanica</w:t>
      </w:r>
      <w:r w:rsidRPr="007A70BD">
        <w:rPr>
          <w:rFonts w:ascii="Verdana" w:hAnsi="Verdana"/>
          <w:bCs/>
          <w:sz w:val="20"/>
        </w:rPr>
        <w:t xml:space="preserve"> </w:t>
      </w:r>
      <w:r w:rsidR="00A02D90" w:rsidRPr="007A70BD">
        <w:rPr>
          <w:rFonts w:ascii="Verdana" w:hAnsi="Verdana"/>
          <w:bCs/>
          <w:sz w:val="20"/>
        </w:rPr>
        <w:t>che</w:t>
      </w:r>
      <w:r w:rsidR="009149C9" w:rsidRPr="007A70BD">
        <w:rPr>
          <w:rFonts w:ascii="Verdana" w:hAnsi="Verdana"/>
          <w:bCs/>
          <w:sz w:val="20"/>
        </w:rPr>
        <w:t xml:space="preserve"> </w:t>
      </w:r>
      <w:r w:rsidR="00A02D90" w:rsidRPr="007A70BD">
        <w:rPr>
          <w:rFonts w:ascii="Verdana" w:hAnsi="Verdana"/>
          <w:bCs/>
          <w:sz w:val="20"/>
        </w:rPr>
        <w:t xml:space="preserve">ne assicura un’altrettanta elevata </w:t>
      </w:r>
      <w:r w:rsidR="00A02D90" w:rsidRPr="007A70BD">
        <w:rPr>
          <w:rFonts w:ascii="Verdana" w:hAnsi="Verdana"/>
          <w:b/>
          <w:bCs/>
          <w:sz w:val="20"/>
        </w:rPr>
        <w:t>longevità nel tempo</w:t>
      </w:r>
      <w:r w:rsidR="009149C9" w:rsidRPr="007A70BD">
        <w:rPr>
          <w:rFonts w:ascii="Verdana" w:hAnsi="Verdana"/>
          <w:b/>
          <w:bCs/>
          <w:sz w:val="20"/>
        </w:rPr>
        <w:t xml:space="preserve"> </w:t>
      </w:r>
      <w:r w:rsidR="009149C9" w:rsidRPr="007A70BD">
        <w:rPr>
          <w:rFonts w:ascii="Verdana" w:hAnsi="Verdana"/>
          <w:bCs/>
          <w:sz w:val="20"/>
        </w:rPr>
        <w:t>per la protezione dei cablaggi e delle apparecchiature</w:t>
      </w:r>
      <w:r w:rsidRPr="007A70BD">
        <w:rPr>
          <w:rFonts w:ascii="Verdana" w:hAnsi="Verdana"/>
          <w:bCs/>
          <w:sz w:val="20"/>
        </w:rPr>
        <w:t xml:space="preserve">. L’estrema </w:t>
      </w:r>
      <w:r w:rsidRPr="007A70BD">
        <w:rPr>
          <w:rFonts w:ascii="Verdana" w:hAnsi="Verdana"/>
          <w:b/>
          <w:bCs/>
          <w:sz w:val="20"/>
        </w:rPr>
        <w:t xml:space="preserve">resistenza ai raggi UV </w:t>
      </w:r>
      <w:r w:rsidRPr="007A70BD">
        <w:rPr>
          <w:rFonts w:ascii="Verdana" w:hAnsi="Verdana"/>
          <w:bCs/>
          <w:sz w:val="20"/>
        </w:rPr>
        <w:t xml:space="preserve">consente inoltre </w:t>
      </w:r>
      <w:r w:rsidR="009149C9" w:rsidRPr="007A70BD">
        <w:rPr>
          <w:rFonts w:ascii="Verdana" w:hAnsi="Verdana"/>
          <w:bCs/>
          <w:sz w:val="20"/>
        </w:rPr>
        <w:t>l’</w:t>
      </w:r>
      <w:r w:rsidR="009149C9" w:rsidRPr="007A70BD">
        <w:rPr>
          <w:rFonts w:ascii="Verdana" w:hAnsi="Verdana"/>
          <w:b/>
          <w:bCs/>
          <w:sz w:val="20"/>
        </w:rPr>
        <w:t>applicazione</w:t>
      </w:r>
      <w:r w:rsidRPr="007A70BD">
        <w:rPr>
          <w:rFonts w:ascii="Verdana" w:hAnsi="Verdana"/>
          <w:b/>
          <w:bCs/>
          <w:sz w:val="20"/>
        </w:rPr>
        <w:t xml:space="preserve"> anche in ambienti esterni</w:t>
      </w:r>
      <w:r w:rsidRPr="007A70BD">
        <w:rPr>
          <w:rFonts w:ascii="Verdana" w:hAnsi="Verdana"/>
          <w:bCs/>
          <w:sz w:val="20"/>
        </w:rPr>
        <w:t>.</w:t>
      </w:r>
    </w:p>
    <w:p w14:paraId="4FB44649" w14:textId="77777777" w:rsidR="0059324A" w:rsidRPr="007A70BD" w:rsidRDefault="0059324A" w:rsidP="0059324A">
      <w:pPr>
        <w:rPr>
          <w:rFonts w:ascii="Verdana" w:hAnsi="Verdana"/>
          <w:sz w:val="20"/>
          <w:szCs w:val="20"/>
        </w:rPr>
      </w:pPr>
    </w:p>
    <w:p w14:paraId="51F94ADD" w14:textId="77777777" w:rsidR="00EC7A22" w:rsidRPr="007A70BD" w:rsidRDefault="00EC7A22" w:rsidP="00EC7A22">
      <w:p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 xml:space="preserve">In fase di progettazione, lo studio si è concentrato per offrire certamente dei prodotti flessibili ed affidabili, ma altresì per garantire </w:t>
      </w:r>
      <w:r w:rsidRPr="007A70BD">
        <w:rPr>
          <w:rFonts w:ascii="Verdana" w:hAnsi="Verdana"/>
          <w:b/>
          <w:bCs/>
          <w:sz w:val="20"/>
        </w:rPr>
        <w:t>la massima praticità di utilizzo</w:t>
      </w:r>
      <w:r w:rsidRPr="007A70BD">
        <w:rPr>
          <w:rFonts w:ascii="Verdana" w:hAnsi="Verdana"/>
          <w:bCs/>
          <w:sz w:val="20"/>
        </w:rPr>
        <w:t xml:space="preserve"> per gli addetti ai lavori. Le scatole di derivazione da parete SD &amp; SDL presentano così una serie di</w:t>
      </w:r>
      <w:r w:rsidRPr="007A70BD">
        <w:rPr>
          <w:rFonts w:ascii="Verdana" w:hAnsi="Verdana"/>
          <w:b/>
          <w:bCs/>
          <w:sz w:val="20"/>
        </w:rPr>
        <w:t xml:space="preserve"> caratteristiche innovative ed esclusive</w:t>
      </w:r>
      <w:r w:rsidRPr="007A70BD">
        <w:rPr>
          <w:rFonts w:ascii="Verdana" w:hAnsi="Verdana"/>
          <w:bCs/>
          <w:sz w:val="20"/>
        </w:rPr>
        <w:t>:</w:t>
      </w:r>
    </w:p>
    <w:p w14:paraId="63B9F326" w14:textId="77777777" w:rsidR="00252C27" w:rsidRPr="007A70BD" w:rsidRDefault="00252C27" w:rsidP="00CD23FE">
      <w:pPr>
        <w:rPr>
          <w:rFonts w:ascii="Verdana" w:hAnsi="Verdana"/>
          <w:sz w:val="20"/>
          <w:szCs w:val="20"/>
        </w:rPr>
      </w:pPr>
    </w:p>
    <w:p w14:paraId="6FB1E419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Passacavi ad elevata tenuta</w:t>
      </w:r>
    </w:p>
    <w:p w14:paraId="1688977C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 xml:space="preserve">Serraggio con avvitatore pari ad 1/4 della coppia massima </w:t>
      </w:r>
    </w:p>
    <w:p w14:paraId="11282207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 xml:space="preserve">Grado IP6X per la protezione totale dalle polveri </w:t>
      </w:r>
    </w:p>
    <w:p w14:paraId="4BAE1FF0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 xml:space="preserve">Viti di fissaggio e coperchio predisposti per effettuare l'operazione di piombatura </w:t>
      </w:r>
    </w:p>
    <w:p w14:paraId="720C1945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Guide sul fondo per il fissaggio di morsettiere o piastre</w:t>
      </w:r>
      <w:r w:rsidRPr="007A70BD">
        <w:rPr>
          <w:rFonts w:ascii="MS Mincho" w:eastAsia="MS Mincho" w:hAnsi="MS Mincho" w:cs="MS Mincho"/>
          <w:bCs/>
          <w:sz w:val="20"/>
        </w:rPr>
        <w:t> </w:t>
      </w:r>
      <w:r w:rsidRPr="007A70BD">
        <w:rPr>
          <w:rFonts w:ascii="Verdana" w:hAnsi="Verdana"/>
          <w:bCs/>
          <w:sz w:val="20"/>
        </w:rPr>
        <w:t xml:space="preserve"> </w:t>
      </w:r>
    </w:p>
    <w:p w14:paraId="55325929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 xml:space="preserve">Guarnizione siliconica per il mantenimento del grado IP65 </w:t>
      </w:r>
    </w:p>
    <w:p w14:paraId="079365B8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Scatole dotate di vite a "cerniera" per impedire lo sgancio totale del coperchio</w:t>
      </w:r>
      <w:r w:rsidRPr="007A70BD">
        <w:rPr>
          <w:rFonts w:ascii="MS Mincho" w:eastAsia="MS Mincho" w:hAnsi="MS Mincho" w:cs="MS Mincho"/>
          <w:bCs/>
          <w:sz w:val="20"/>
        </w:rPr>
        <w:t> </w:t>
      </w:r>
      <w:r w:rsidRPr="007A70BD">
        <w:rPr>
          <w:rFonts w:ascii="Verdana" w:hAnsi="Verdana"/>
          <w:bCs/>
          <w:sz w:val="20"/>
        </w:rPr>
        <w:t xml:space="preserve"> </w:t>
      </w:r>
    </w:p>
    <w:p w14:paraId="3CB205EE" w14:textId="77777777" w:rsidR="00EC7A22" w:rsidRPr="007A70BD" w:rsidRDefault="00EC7A22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Accessori atti a garantire il doppio isolamento</w:t>
      </w:r>
    </w:p>
    <w:p w14:paraId="149A5D3F" w14:textId="77777777" w:rsidR="004A45BD" w:rsidRPr="007A70BD" w:rsidRDefault="004A45BD" w:rsidP="00EC7A22">
      <w:pPr>
        <w:pStyle w:val="Paragrafoelenco"/>
        <w:numPr>
          <w:ilvl w:val="0"/>
          <w:numId w:val="48"/>
        </w:numPr>
        <w:autoSpaceDE w:val="0"/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>Colore grigio RAL 7035</w:t>
      </w:r>
    </w:p>
    <w:p w14:paraId="00F7EEF1" w14:textId="77777777" w:rsidR="00EC7A22" w:rsidRDefault="00EC7A22" w:rsidP="00EC7A22">
      <w:pPr>
        <w:autoSpaceDE w:val="0"/>
        <w:rPr>
          <w:rFonts w:ascii="Verdana" w:hAnsi="Verdana"/>
          <w:bCs/>
          <w:sz w:val="20"/>
        </w:rPr>
      </w:pPr>
    </w:p>
    <w:p w14:paraId="429637BE" w14:textId="77777777" w:rsidR="009149C9" w:rsidRDefault="00EC7A22" w:rsidP="009149C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L’installazione </w:t>
      </w:r>
      <w:r w:rsidR="00341E55">
        <w:rPr>
          <w:rFonts w:ascii="Verdana" w:hAnsi="Verdana"/>
          <w:b/>
          <w:bCs/>
          <w:sz w:val="20"/>
        </w:rPr>
        <w:t>di questi prodotti</w:t>
      </w:r>
      <w:r>
        <w:rPr>
          <w:rFonts w:ascii="Verdana" w:hAnsi="Verdana"/>
          <w:b/>
          <w:bCs/>
          <w:sz w:val="20"/>
        </w:rPr>
        <w:t xml:space="preserve"> risulta facile, veloce, immediata. </w:t>
      </w:r>
      <w:r w:rsidRPr="009F392B">
        <w:rPr>
          <w:rFonts w:ascii="Verdana" w:hAnsi="Verdana"/>
          <w:bCs/>
          <w:sz w:val="20"/>
        </w:rPr>
        <w:t>Frutto di</w:t>
      </w:r>
      <w:r>
        <w:rPr>
          <w:rFonts w:ascii="Verdana" w:hAnsi="Verdana"/>
          <w:bCs/>
          <w:sz w:val="20"/>
        </w:rPr>
        <w:t xml:space="preserve"> un costante impegno per offrire degli apparecchi semplici e al contempo sicuri, </w:t>
      </w:r>
      <w:r w:rsidRPr="00C74FAD">
        <w:rPr>
          <w:rFonts w:ascii="Verdana" w:hAnsi="Verdana"/>
          <w:color w:val="000000"/>
          <w:sz w:val="20"/>
          <w:szCs w:val="20"/>
        </w:rPr>
        <w:t xml:space="preserve">le </w:t>
      </w:r>
      <w:r w:rsidRPr="00C74FAD">
        <w:rPr>
          <w:rFonts w:ascii="Verdana" w:hAnsi="Verdana"/>
          <w:b/>
          <w:color w:val="000000"/>
          <w:sz w:val="20"/>
          <w:szCs w:val="20"/>
        </w:rPr>
        <w:t>scatole di derivazione da parete SD &amp; SDL IP44 e IP65</w:t>
      </w:r>
      <w:r>
        <w:rPr>
          <w:rFonts w:ascii="Verdana" w:hAnsi="Verdana"/>
          <w:bCs/>
          <w:sz w:val="20"/>
        </w:rPr>
        <w:t xml:space="preserve"> grazie alle innumerevoli predisposizioni tecniche e a</w:t>
      </w:r>
      <w:r w:rsidR="00945A01">
        <w:rPr>
          <w:rFonts w:ascii="Verdana" w:hAnsi="Verdana"/>
          <w:bCs/>
          <w:sz w:val="20"/>
        </w:rPr>
        <w:t xml:space="preserve">d ampi spazi di manovra permettono un montaggio e un cablaggio professionali, nel minor tempo possibile. </w:t>
      </w:r>
    </w:p>
    <w:p w14:paraId="17E5439A" w14:textId="77777777" w:rsidR="009149C9" w:rsidRPr="00341E55" w:rsidRDefault="00945A01" w:rsidP="009149C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0"/>
          <w:szCs w:val="20"/>
        </w:rPr>
      </w:pPr>
      <w:r w:rsidRPr="00FC4B4E">
        <w:rPr>
          <w:rFonts w:ascii="Verdana" w:hAnsi="Verdana"/>
          <w:sz w:val="20"/>
          <w:szCs w:val="20"/>
        </w:rPr>
        <w:t>La forma particolare del complesso base più coperchio consente</w:t>
      </w:r>
      <w:r>
        <w:rPr>
          <w:rFonts w:ascii="Verdana" w:hAnsi="Verdana"/>
          <w:sz w:val="20"/>
          <w:szCs w:val="20"/>
        </w:rPr>
        <w:t>,</w:t>
      </w:r>
      <w:r w:rsidRPr="00FC4B4E">
        <w:rPr>
          <w:rFonts w:ascii="Verdana" w:hAnsi="Verdana"/>
          <w:sz w:val="20"/>
          <w:szCs w:val="20"/>
        </w:rPr>
        <w:t xml:space="preserve"> oltre alla classica installazione da parete, anche </w:t>
      </w:r>
      <w:r w:rsidRPr="00945A01">
        <w:rPr>
          <w:rFonts w:ascii="Verdana" w:hAnsi="Verdana"/>
          <w:b/>
          <w:sz w:val="20"/>
          <w:szCs w:val="20"/>
        </w:rPr>
        <w:t>l’installazione da semi-incasso</w:t>
      </w:r>
      <w:r w:rsidRPr="00FC4B4E">
        <w:rPr>
          <w:rFonts w:ascii="Verdana" w:hAnsi="Verdana"/>
          <w:sz w:val="20"/>
          <w:szCs w:val="20"/>
        </w:rPr>
        <w:t>, riducendo la sporgenza e guadagnando spazio nei luoghi parti</w:t>
      </w:r>
      <w:r>
        <w:rPr>
          <w:rFonts w:ascii="Verdana" w:hAnsi="Verdana"/>
          <w:sz w:val="20"/>
          <w:szCs w:val="20"/>
        </w:rPr>
        <w:t>colarmente piccoli e/o limitati.</w:t>
      </w:r>
      <w:r w:rsidR="009149C9">
        <w:rPr>
          <w:rFonts w:ascii="Verdana" w:hAnsi="Verdana"/>
          <w:sz w:val="20"/>
          <w:szCs w:val="20"/>
        </w:rPr>
        <w:t xml:space="preserve"> </w:t>
      </w:r>
      <w:r w:rsidR="009149C9" w:rsidRPr="009149C9">
        <w:rPr>
          <w:rFonts w:ascii="Verdana" w:hAnsi="Verdana"/>
          <w:sz w:val="20"/>
          <w:szCs w:val="20"/>
        </w:rPr>
        <w:t xml:space="preserve">I passacavi sono realizzati a gradini, </w:t>
      </w:r>
      <w:r w:rsidR="00341E55">
        <w:rPr>
          <w:rFonts w:ascii="Verdana" w:hAnsi="Verdana"/>
          <w:sz w:val="20"/>
          <w:szCs w:val="20"/>
        </w:rPr>
        <w:t xml:space="preserve">così da permettere </w:t>
      </w:r>
      <w:r w:rsidR="009149C9" w:rsidRPr="009149C9">
        <w:rPr>
          <w:rFonts w:ascii="Verdana" w:hAnsi="Verdana"/>
          <w:sz w:val="20"/>
          <w:szCs w:val="20"/>
        </w:rPr>
        <w:t>l’</w:t>
      </w:r>
      <w:r w:rsidR="009149C9" w:rsidRPr="009149C9">
        <w:rPr>
          <w:rFonts w:ascii="Verdana" w:hAnsi="Verdana"/>
          <w:b/>
          <w:sz w:val="20"/>
          <w:szCs w:val="20"/>
        </w:rPr>
        <w:t xml:space="preserve">identificazione immediata dei diametri </w:t>
      </w:r>
      <w:r w:rsidR="00341E55">
        <w:rPr>
          <w:rFonts w:ascii="Verdana" w:hAnsi="Verdana"/>
          <w:b/>
          <w:sz w:val="20"/>
          <w:szCs w:val="20"/>
        </w:rPr>
        <w:t>di</w:t>
      </w:r>
      <w:r w:rsidR="009149C9" w:rsidRPr="009149C9">
        <w:rPr>
          <w:rFonts w:ascii="Verdana" w:hAnsi="Verdana"/>
          <w:b/>
          <w:sz w:val="20"/>
          <w:szCs w:val="20"/>
        </w:rPr>
        <w:t xml:space="preserve"> tubi e cavi</w:t>
      </w:r>
      <w:r w:rsidR="00341E55" w:rsidRPr="00341E55">
        <w:rPr>
          <w:rFonts w:ascii="Verdana" w:hAnsi="Verdana"/>
          <w:sz w:val="20"/>
          <w:szCs w:val="20"/>
        </w:rPr>
        <w:t>,</w:t>
      </w:r>
      <w:r w:rsidR="009149C9">
        <w:rPr>
          <w:rFonts w:ascii="Verdana" w:hAnsi="Verdana"/>
          <w:sz w:val="20"/>
          <w:szCs w:val="20"/>
        </w:rPr>
        <w:t xml:space="preserve"> </w:t>
      </w:r>
      <w:r w:rsidR="009149C9" w:rsidRPr="009149C9">
        <w:rPr>
          <w:rFonts w:ascii="Verdana" w:hAnsi="Verdana"/>
          <w:sz w:val="20"/>
          <w:szCs w:val="20"/>
        </w:rPr>
        <w:t>fa</w:t>
      </w:r>
      <w:r w:rsidR="009149C9">
        <w:rPr>
          <w:rFonts w:ascii="Verdana" w:hAnsi="Verdana"/>
          <w:sz w:val="20"/>
          <w:szCs w:val="20"/>
        </w:rPr>
        <w:t>cilitandone l’applicazione.</w:t>
      </w:r>
    </w:p>
    <w:p w14:paraId="515F2623" w14:textId="77777777" w:rsidR="00303AE7" w:rsidRPr="00CF0DED" w:rsidRDefault="000E52F0" w:rsidP="00CF0DE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</w:rPr>
      </w:pPr>
      <w:r w:rsidRPr="00303AE7">
        <w:rPr>
          <w:rFonts w:ascii="Verdana" w:hAnsi="Verdana"/>
          <w:sz w:val="20"/>
          <w:szCs w:val="20"/>
        </w:rPr>
        <w:lastRenderedPageBreak/>
        <w:t xml:space="preserve">Particolare attenzione è stata dedicata anche alla </w:t>
      </w:r>
      <w:r w:rsidRPr="00303AE7">
        <w:rPr>
          <w:rFonts w:ascii="Verdana" w:hAnsi="Verdana"/>
          <w:b/>
          <w:sz w:val="20"/>
          <w:szCs w:val="20"/>
        </w:rPr>
        <w:t>confezione di vendita</w:t>
      </w:r>
      <w:r w:rsidRPr="00303AE7">
        <w:rPr>
          <w:rFonts w:ascii="Verdana" w:hAnsi="Verdana"/>
          <w:sz w:val="20"/>
          <w:szCs w:val="20"/>
        </w:rPr>
        <w:t xml:space="preserve"> di questi articoli.</w:t>
      </w:r>
      <w:r>
        <w:rPr>
          <w:rFonts w:ascii="Verdana" w:hAnsi="Verdana"/>
          <w:sz w:val="20"/>
          <w:szCs w:val="20"/>
        </w:rPr>
        <w:t xml:space="preserve"> </w:t>
      </w:r>
      <w:r w:rsidRPr="000E52F0">
        <w:rPr>
          <w:rFonts w:ascii="Verdana" w:hAnsi="Verdana"/>
          <w:sz w:val="20"/>
          <w:szCs w:val="20"/>
        </w:rPr>
        <w:t>Le scatole di derivazione da parete SD &amp; SDL IP44 e IP65</w:t>
      </w:r>
      <w:r>
        <w:rPr>
          <w:rFonts w:ascii="Verdana" w:hAnsi="Verdana"/>
          <w:sz w:val="20"/>
          <w:szCs w:val="20"/>
        </w:rPr>
        <w:t xml:space="preserve"> </w:t>
      </w:r>
      <w:r w:rsidRPr="000E52F0">
        <w:rPr>
          <w:rFonts w:ascii="Verdana" w:hAnsi="Verdana"/>
          <w:sz w:val="20"/>
          <w:szCs w:val="20"/>
        </w:rPr>
        <w:t xml:space="preserve">vengono fornite con </w:t>
      </w:r>
      <w:r w:rsidRPr="00CF0DED">
        <w:rPr>
          <w:rFonts w:ascii="Verdana" w:hAnsi="Verdana"/>
          <w:b/>
          <w:sz w:val="20"/>
          <w:szCs w:val="20"/>
        </w:rPr>
        <w:t>viti in nylon a passo rapido</w:t>
      </w:r>
      <w:r w:rsidRPr="000E52F0">
        <w:rPr>
          <w:rFonts w:ascii="Verdana" w:hAnsi="Verdana"/>
          <w:sz w:val="20"/>
          <w:szCs w:val="20"/>
        </w:rPr>
        <w:t xml:space="preserve">, inserite all'interno della scatola stessa in un sacchetto provvisto anche di </w:t>
      </w:r>
      <w:r w:rsidRPr="00CF0DED">
        <w:rPr>
          <w:rFonts w:ascii="Verdana" w:hAnsi="Verdana"/>
          <w:b/>
          <w:sz w:val="20"/>
          <w:szCs w:val="20"/>
        </w:rPr>
        <w:t>tappi per il doppio isolamento</w:t>
      </w:r>
      <w:r w:rsidRPr="000E52F0">
        <w:rPr>
          <w:rFonts w:ascii="Verdana" w:hAnsi="Verdana"/>
          <w:sz w:val="20"/>
          <w:szCs w:val="20"/>
        </w:rPr>
        <w:t xml:space="preserve">. In questo modo l'installatore </w:t>
      </w:r>
      <w:r w:rsidR="00E26493">
        <w:rPr>
          <w:rFonts w:ascii="Verdana" w:hAnsi="Verdana"/>
          <w:sz w:val="20"/>
          <w:szCs w:val="20"/>
        </w:rPr>
        <w:t>può scongiurare</w:t>
      </w:r>
      <w:r w:rsidRPr="000E52F0">
        <w:rPr>
          <w:rFonts w:ascii="Verdana" w:hAnsi="Verdana"/>
          <w:sz w:val="20"/>
          <w:szCs w:val="20"/>
        </w:rPr>
        <w:t xml:space="preserve"> il rischio, una volta rimosso il film protettivo che assicura l'insieme scatola-coperchio, di perdere le viti e/o i tappi per il doppio isolamento. Tutte le scatole di derivazione da parete SD &amp; SDL IP44 e IP65</w:t>
      </w:r>
      <w:r w:rsidR="00E26493">
        <w:rPr>
          <w:rFonts w:ascii="Verdana" w:hAnsi="Verdana"/>
          <w:sz w:val="20"/>
          <w:szCs w:val="20"/>
        </w:rPr>
        <w:t>,</w:t>
      </w:r>
      <w:r w:rsidRPr="000E52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inoltre</w:t>
      </w:r>
      <w:r w:rsidR="00E2649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presentano</w:t>
      </w:r>
      <w:r w:rsidRPr="000E52F0">
        <w:rPr>
          <w:rFonts w:ascii="Verdana" w:hAnsi="Verdana"/>
          <w:sz w:val="20"/>
          <w:szCs w:val="20"/>
        </w:rPr>
        <w:t xml:space="preserve"> il medesimo imballo con </w:t>
      </w:r>
      <w:r w:rsidRPr="00CF0DED">
        <w:rPr>
          <w:rFonts w:ascii="Verdana" w:hAnsi="Verdana"/>
          <w:b/>
          <w:sz w:val="20"/>
          <w:szCs w:val="20"/>
        </w:rPr>
        <w:t>predisposizione per l'apertura frontale</w:t>
      </w:r>
      <w:r w:rsidR="00CF0DED">
        <w:rPr>
          <w:rFonts w:ascii="Verdana" w:hAnsi="Verdana"/>
          <w:sz w:val="20"/>
          <w:szCs w:val="20"/>
        </w:rPr>
        <w:t xml:space="preserve">: </w:t>
      </w:r>
      <w:r w:rsidRPr="000E52F0">
        <w:rPr>
          <w:rFonts w:ascii="Verdana" w:hAnsi="Verdana"/>
          <w:sz w:val="20"/>
          <w:szCs w:val="20"/>
        </w:rPr>
        <w:t xml:space="preserve">tanto il grossista quanto il rivenditore possono </w:t>
      </w:r>
      <w:r w:rsidR="00E26493">
        <w:rPr>
          <w:rFonts w:ascii="Verdana" w:hAnsi="Verdana"/>
          <w:sz w:val="20"/>
          <w:szCs w:val="20"/>
        </w:rPr>
        <w:t xml:space="preserve">così </w:t>
      </w:r>
      <w:r w:rsidRPr="000E52F0">
        <w:rPr>
          <w:rFonts w:ascii="Verdana" w:hAnsi="Verdana"/>
          <w:sz w:val="20"/>
          <w:szCs w:val="20"/>
        </w:rPr>
        <w:t>ottimizzare la gestione dello stock a scaffale e</w:t>
      </w:r>
      <w:r>
        <w:rPr>
          <w:rFonts w:ascii="Verdana" w:hAnsi="Verdana"/>
          <w:sz w:val="20"/>
          <w:szCs w:val="20"/>
        </w:rPr>
        <w:t xml:space="preserve">d anche il prelievo degli articoli risulta più pratico e </w:t>
      </w:r>
      <w:r w:rsidR="00CF0DED">
        <w:rPr>
          <w:rFonts w:ascii="Verdana" w:hAnsi="Verdana"/>
          <w:sz w:val="20"/>
          <w:szCs w:val="20"/>
        </w:rPr>
        <w:t>agevole</w:t>
      </w:r>
      <w:r>
        <w:rPr>
          <w:rFonts w:ascii="Verdana" w:hAnsi="Verdana"/>
          <w:sz w:val="20"/>
          <w:szCs w:val="20"/>
        </w:rPr>
        <w:t>.</w:t>
      </w:r>
    </w:p>
    <w:p w14:paraId="4A46F996" w14:textId="77777777" w:rsidR="00F42FAB" w:rsidRPr="007A70BD" w:rsidRDefault="00341E55" w:rsidP="00F42FAB">
      <w:pPr>
        <w:autoSpaceDE w:val="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Le</w:t>
      </w:r>
      <w:r w:rsidR="00F42FAB">
        <w:rPr>
          <w:rFonts w:ascii="Verdana" w:hAnsi="Verdana"/>
          <w:bCs/>
          <w:sz w:val="20"/>
        </w:rPr>
        <w:t xml:space="preserve"> </w:t>
      </w:r>
      <w:r w:rsidR="00F42FAB" w:rsidRPr="00C74FAD">
        <w:rPr>
          <w:rFonts w:ascii="Verdana" w:hAnsi="Verdana"/>
          <w:b/>
          <w:color w:val="000000"/>
          <w:sz w:val="20"/>
          <w:szCs w:val="20"/>
        </w:rPr>
        <w:t>scatole di derivazione SD &amp; SDL IP44 e IP65</w:t>
      </w:r>
      <w:r>
        <w:rPr>
          <w:rFonts w:ascii="Verdana" w:hAnsi="Verdana"/>
          <w:bCs/>
          <w:sz w:val="20"/>
        </w:rPr>
        <w:t xml:space="preserve"> completano</w:t>
      </w:r>
      <w:r w:rsidR="00F42FAB" w:rsidRPr="00F42FAB">
        <w:rPr>
          <w:rFonts w:ascii="Verdana" w:hAnsi="Verdana"/>
          <w:bCs/>
          <w:sz w:val="20"/>
        </w:rPr>
        <w:t xml:space="preserve"> e arricchiscono l’offerta AVE </w:t>
      </w:r>
      <w:r w:rsidR="00F42FAB" w:rsidRPr="007A70BD">
        <w:rPr>
          <w:rFonts w:ascii="Verdana" w:hAnsi="Verdana"/>
          <w:bCs/>
          <w:sz w:val="20"/>
        </w:rPr>
        <w:t>in questo settore</w:t>
      </w:r>
      <w:r w:rsidR="00297DB9" w:rsidRPr="007A70BD">
        <w:rPr>
          <w:rFonts w:ascii="Verdana" w:hAnsi="Verdana"/>
          <w:bCs/>
          <w:sz w:val="20"/>
        </w:rPr>
        <w:t>:</w:t>
      </w:r>
      <w:r w:rsidR="00F42FAB" w:rsidRPr="007A70BD">
        <w:rPr>
          <w:rFonts w:ascii="Verdana" w:hAnsi="Verdana"/>
          <w:bCs/>
          <w:sz w:val="20"/>
        </w:rPr>
        <w:t xml:space="preserve"> una proposta </w:t>
      </w:r>
      <w:r w:rsidRPr="007A70BD">
        <w:rPr>
          <w:rFonts w:ascii="Verdana" w:hAnsi="Verdana"/>
          <w:bCs/>
          <w:sz w:val="20"/>
        </w:rPr>
        <w:t>altamente specializzata e</w:t>
      </w:r>
      <w:r w:rsidR="00F42FAB" w:rsidRPr="007A70BD">
        <w:rPr>
          <w:rFonts w:ascii="Verdana" w:hAnsi="Verdana"/>
          <w:bCs/>
          <w:sz w:val="20"/>
        </w:rPr>
        <w:t xml:space="preserve"> funzionale, che soddisfa tutte le esigenze </w:t>
      </w:r>
      <w:proofErr w:type="spellStart"/>
      <w:r w:rsidR="00F42FAB" w:rsidRPr="007A70BD">
        <w:rPr>
          <w:rFonts w:ascii="Verdana" w:hAnsi="Verdana"/>
          <w:bCs/>
          <w:sz w:val="20"/>
        </w:rPr>
        <w:t>installative</w:t>
      </w:r>
      <w:proofErr w:type="spellEnd"/>
      <w:r w:rsidR="00F42FAB" w:rsidRPr="007A70BD">
        <w:rPr>
          <w:rFonts w:ascii="Verdana" w:hAnsi="Verdana"/>
          <w:bCs/>
          <w:sz w:val="20"/>
        </w:rPr>
        <w:t xml:space="preserve"> del settore civile, terziario e industriale.</w:t>
      </w:r>
    </w:p>
    <w:p w14:paraId="1FE1C669" w14:textId="77777777" w:rsidR="009149C9" w:rsidRPr="007A70BD" w:rsidRDefault="009149C9" w:rsidP="009149C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</w:rPr>
      </w:pPr>
    </w:p>
    <w:p w14:paraId="33857898" w14:textId="77777777" w:rsidR="00F42FAB" w:rsidRPr="007A70BD" w:rsidRDefault="00F42FAB" w:rsidP="00C85186">
      <w:pPr>
        <w:rPr>
          <w:rFonts w:ascii="Verdana" w:hAnsi="Verdana"/>
          <w:bCs/>
          <w:sz w:val="20"/>
        </w:rPr>
      </w:pPr>
      <w:r w:rsidRPr="007A70BD">
        <w:rPr>
          <w:rFonts w:ascii="Verdana" w:hAnsi="Verdana"/>
          <w:bCs/>
          <w:sz w:val="20"/>
        </w:rPr>
        <w:t xml:space="preserve">Rezzato, </w:t>
      </w:r>
      <w:r w:rsidR="007A70BD" w:rsidRPr="007A70BD">
        <w:rPr>
          <w:rFonts w:ascii="Verdana" w:hAnsi="Verdana"/>
          <w:bCs/>
          <w:sz w:val="20"/>
        </w:rPr>
        <w:t>25 settembre 2020</w:t>
      </w:r>
    </w:p>
    <w:p w14:paraId="22703FE1" w14:textId="77777777" w:rsidR="00F42FAB" w:rsidRDefault="00F42FAB" w:rsidP="00C85186">
      <w:pPr>
        <w:rPr>
          <w:rFonts w:ascii="Verdana" w:hAnsi="Verdana"/>
          <w:bCs/>
          <w:sz w:val="20"/>
        </w:rPr>
      </w:pPr>
    </w:p>
    <w:p w14:paraId="474F5A5A" w14:textId="77777777" w:rsidR="00F42FAB" w:rsidRDefault="00F42FAB" w:rsidP="00C85186">
      <w:pPr>
        <w:rPr>
          <w:rFonts w:ascii="Verdana" w:hAnsi="Verdana"/>
          <w:bCs/>
          <w:sz w:val="20"/>
        </w:rPr>
      </w:pPr>
    </w:p>
    <w:p w14:paraId="4A4A10B4" w14:textId="77777777" w:rsidR="00F42FAB" w:rsidRDefault="00284B9D" w:rsidP="00BE23EF">
      <w:pPr>
        <w:jc w:val="center"/>
        <w:rPr>
          <w:rStyle w:val="Collegamentoipertestuale"/>
          <w:rFonts w:ascii="Verdana" w:hAnsi="Verdana"/>
          <w:b/>
          <w:bCs/>
          <w:color w:val="auto"/>
          <w:sz w:val="20"/>
          <w:u w:val="none"/>
        </w:rPr>
      </w:pPr>
      <w:hyperlink r:id="rId10" w:history="1">
        <w:r w:rsidR="00BE23EF" w:rsidRPr="00BE23EF">
          <w:rPr>
            <w:rStyle w:val="Collegamentoipertestuale"/>
            <w:rFonts w:ascii="Verdana" w:hAnsi="Verdana"/>
            <w:b/>
            <w:bCs/>
            <w:color w:val="auto"/>
            <w:sz w:val="20"/>
            <w:u w:val="none"/>
          </w:rPr>
          <w:t>www.ave.it</w:t>
        </w:r>
      </w:hyperlink>
    </w:p>
    <w:p w14:paraId="166F9359" w14:textId="77777777" w:rsidR="00F912D0" w:rsidRDefault="00F912D0" w:rsidP="00BE23EF">
      <w:pPr>
        <w:jc w:val="center"/>
        <w:rPr>
          <w:rStyle w:val="Collegamentoipertestuale"/>
          <w:rFonts w:ascii="Verdana" w:hAnsi="Verdana"/>
          <w:b/>
          <w:bCs/>
          <w:color w:val="auto"/>
          <w:sz w:val="20"/>
          <w:u w:val="none"/>
        </w:rPr>
      </w:pPr>
    </w:p>
    <w:p w14:paraId="51747B86" w14:textId="77777777" w:rsidR="00F912D0" w:rsidRDefault="00F912D0" w:rsidP="00F912D0">
      <w:pPr>
        <w:jc w:val="left"/>
        <w:rPr>
          <w:rStyle w:val="Collegamentoipertestuale"/>
          <w:rFonts w:ascii="Verdana" w:hAnsi="Verdana"/>
          <w:b/>
          <w:bCs/>
          <w:color w:val="auto"/>
          <w:sz w:val="20"/>
          <w:u w:val="none"/>
        </w:rPr>
      </w:pPr>
    </w:p>
    <w:p w14:paraId="7CB39460" w14:textId="77777777" w:rsidR="00F912D0" w:rsidRDefault="00F912D0" w:rsidP="00F912D0">
      <w:pPr>
        <w:jc w:val="left"/>
        <w:rPr>
          <w:rStyle w:val="Collegamentoipertestuale"/>
          <w:rFonts w:ascii="Verdana" w:hAnsi="Verdana"/>
          <w:b/>
          <w:bCs/>
          <w:color w:val="auto"/>
          <w:sz w:val="20"/>
          <w:u w:val="none"/>
        </w:rPr>
      </w:pPr>
    </w:p>
    <w:p w14:paraId="105018C5" w14:textId="77777777" w:rsidR="004A45BD" w:rsidRPr="00303AE7" w:rsidRDefault="004A45BD" w:rsidP="00F912D0">
      <w:pPr>
        <w:jc w:val="left"/>
        <w:rPr>
          <w:rFonts w:ascii="Verdana" w:hAnsi="Verdana"/>
          <w:bCs/>
          <w:color w:val="FF0000"/>
          <w:sz w:val="20"/>
        </w:rPr>
      </w:pPr>
    </w:p>
    <w:sectPr w:rsidR="004A45BD" w:rsidRPr="00303AE7" w:rsidSect="00F81338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39AF" w14:textId="77777777" w:rsidR="00284B9D" w:rsidRDefault="00284B9D" w:rsidP="00BD1C27">
      <w:pPr>
        <w:rPr>
          <w:rFonts w:hint="eastAsia"/>
        </w:rPr>
      </w:pPr>
      <w:r>
        <w:separator/>
      </w:r>
    </w:p>
  </w:endnote>
  <w:endnote w:type="continuationSeparator" w:id="0">
    <w:p w14:paraId="7F664962" w14:textId="77777777" w:rsidR="00284B9D" w:rsidRDefault="00284B9D" w:rsidP="00BD1C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148E83" w14:textId="77777777" w:rsidR="00E1408D" w:rsidRPr="00C74FAD" w:rsidRDefault="00E1408D" w:rsidP="00A02D90">
    <w:pPr>
      <w:autoSpaceDE w:val="0"/>
      <w:jc w:val="left"/>
      <w:rPr>
        <w:rFonts w:ascii="Verdana" w:hAnsi="Verdana"/>
        <w:color w:val="00000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0C921" w14:textId="77777777" w:rsidR="00284B9D" w:rsidRDefault="00284B9D" w:rsidP="00BD1C27">
      <w:pPr>
        <w:rPr>
          <w:rFonts w:hint="eastAsia"/>
        </w:rPr>
      </w:pPr>
      <w:r>
        <w:separator/>
      </w:r>
    </w:p>
  </w:footnote>
  <w:footnote w:type="continuationSeparator" w:id="0">
    <w:p w14:paraId="7FFB61D3" w14:textId="77777777" w:rsidR="00284B9D" w:rsidRDefault="00284B9D" w:rsidP="00BD1C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76303A" w14:textId="77777777" w:rsidR="0016607F" w:rsidRDefault="00284B9D" w:rsidP="00BD1C27">
    <w:pPr>
      <w:tabs>
        <w:tab w:val="left" w:pos="960"/>
      </w:tabs>
      <w:rPr>
        <w:rFonts w:hint="eastAsia"/>
      </w:rPr>
    </w:pPr>
    <w:r>
      <w:rPr>
        <w:rFonts w:hint="eastAsia"/>
        <w:noProof/>
      </w:rPr>
      <w:pict w14:anchorId="423BC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_x0020_1" o:spid="_x0000_s2049" type="#_x0000_t75" style="position:absolute;left:0;text-align:left;margin-left:234.35pt;margin-top:23.25pt;width:228.35pt;height:24.3pt;z-index:1;visibility:visible;mso-wrap-distance-left:9.05pt;mso-wrap-distance-right:9.05pt" filled="t">
          <v:imagedata r:id="rId1" o:title=""/>
          <w10:wrap type="topAndBottom"/>
        </v:shape>
      </w:pict>
    </w:r>
    <w:r>
      <w:rPr>
        <w:noProof/>
      </w:rPr>
      <w:pict w14:anchorId="0A7F5A63">
        <v:shape id="Immagine_x0020_1" o:spid="_x0000_i1025" type="#_x0000_t75" style="width:2in;height:59.9pt;visibility:visible" filled="t">
          <v:imagedata r:id="rId2" o:title=""/>
        </v:shape>
      </w:pict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  <w:r w:rsidR="0016607F">
      <w:tab/>
    </w:r>
  </w:p>
  <w:p w14:paraId="3B25192E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62B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F4B"/>
    <w:multiLevelType w:val="hybridMultilevel"/>
    <w:tmpl w:val="3A80C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54BC"/>
    <w:multiLevelType w:val="hybridMultilevel"/>
    <w:tmpl w:val="681EA49E"/>
    <w:lvl w:ilvl="0" w:tplc="BC42DC82">
      <w:start w:val="1"/>
      <w:numFmt w:val="decimal"/>
      <w:lvlText w:val="%1."/>
      <w:lvlJc w:val="left"/>
      <w:pPr>
        <w:ind w:left="720" w:hanging="360"/>
      </w:pPr>
      <w:rPr>
        <w:rFonts w:ascii="Verdana" w:eastAsia="MS Mincho" w:hAnsi="Verdana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572AF"/>
    <w:multiLevelType w:val="hybridMultilevel"/>
    <w:tmpl w:val="0B121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9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1294E"/>
    <w:multiLevelType w:val="hybridMultilevel"/>
    <w:tmpl w:val="B48A7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9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"/>
  </w:num>
  <w:num w:numId="3">
    <w:abstractNumId w:val="6"/>
  </w:num>
  <w:num w:numId="4">
    <w:abstractNumId w:val="23"/>
  </w:num>
  <w:num w:numId="5">
    <w:abstractNumId w:val="40"/>
  </w:num>
  <w:num w:numId="6">
    <w:abstractNumId w:val="30"/>
  </w:num>
  <w:num w:numId="7">
    <w:abstractNumId w:val="20"/>
  </w:num>
  <w:num w:numId="8">
    <w:abstractNumId w:val="25"/>
  </w:num>
  <w:num w:numId="9">
    <w:abstractNumId w:val="19"/>
  </w:num>
  <w:num w:numId="10">
    <w:abstractNumId w:val="1"/>
  </w:num>
  <w:num w:numId="11">
    <w:abstractNumId w:val="47"/>
  </w:num>
  <w:num w:numId="12">
    <w:abstractNumId w:val="21"/>
  </w:num>
  <w:num w:numId="13">
    <w:abstractNumId w:val="29"/>
  </w:num>
  <w:num w:numId="14">
    <w:abstractNumId w:val="5"/>
  </w:num>
  <w:num w:numId="15">
    <w:abstractNumId w:val="11"/>
  </w:num>
  <w:num w:numId="16">
    <w:abstractNumId w:val="49"/>
  </w:num>
  <w:num w:numId="17">
    <w:abstractNumId w:val="45"/>
  </w:num>
  <w:num w:numId="18">
    <w:abstractNumId w:val="26"/>
  </w:num>
  <w:num w:numId="19">
    <w:abstractNumId w:val="32"/>
  </w:num>
  <w:num w:numId="20">
    <w:abstractNumId w:val="44"/>
  </w:num>
  <w:num w:numId="21">
    <w:abstractNumId w:val="46"/>
  </w:num>
  <w:num w:numId="22">
    <w:abstractNumId w:val="15"/>
  </w:num>
  <w:num w:numId="23">
    <w:abstractNumId w:val="2"/>
  </w:num>
  <w:num w:numId="24">
    <w:abstractNumId w:val="42"/>
  </w:num>
  <w:num w:numId="25">
    <w:abstractNumId w:val="31"/>
  </w:num>
  <w:num w:numId="26">
    <w:abstractNumId w:val="34"/>
  </w:num>
  <w:num w:numId="27">
    <w:abstractNumId w:val="22"/>
  </w:num>
  <w:num w:numId="28">
    <w:abstractNumId w:val="37"/>
  </w:num>
  <w:num w:numId="29">
    <w:abstractNumId w:val="12"/>
  </w:num>
  <w:num w:numId="30">
    <w:abstractNumId w:val="38"/>
  </w:num>
  <w:num w:numId="31">
    <w:abstractNumId w:val="16"/>
  </w:num>
  <w:num w:numId="32">
    <w:abstractNumId w:val="17"/>
  </w:num>
  <w:num w:numId="33">
    <w:abstractNumId w:val="39"/>
  </w:num>
  <w:num w:numId="34">
    <w:abstractNumId w:val="24"/>
  </w:num>
  <w:num w:numId="35">
    <w:abstractNumId w:val="36"/>
  </w:num>
  <w:num w:numId="36">
    <w:abstractNumId w:val="10"/>
  </w:num>
  <w:num w:numId="37">
    <w:abstractNumId w:val="28"/>
  </w:num>
  <w:num w:numId="38">
    <w:abstractNumId w:val="3"/>
  </w:num>
  <w:num w:numId="39">
    <w:abstractNumId w:val="14"/>
  </w:num>
  <w:num w:numId="40">
    <w:abstractNumId w:val="18"/>
  </w:num>
  <w:num w:numId="41">
    <w:abstractNumId w:val="35"/>
  </w:num>
  <w:num w:numId="42">
    <w:abstractNumId w:val="33"/>
  </w:num>
  <w:num w:numId="43">
    <w:abstractNumId w:val="41"/>
  </w:num>
  <w:num w:numId="44">
    <w:abstractNumId w:val="43"/>
  </w:num>
  <w:num w:numId="45">
    <w:abstractNumId w:val="7"/>
  </w:num>
  <w:num w:numId="46">
    <w:abstractNumId w:val="9"/>
  </w:num>
  <w:num w:numId="47">
    <w:abstractNumId w:val="13"/>
  </w:num>
  <w:num w:numId="48">
    <w:abstractNumId w:val="27"/>
  </w:num>
  <w:num w:numId="49">
    <w:abstractNumId w:val="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0BD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11FA"/>
    <w:rsid w:val="000D1B1C"/>
    <w:rsid w:val="000D2BF8"/>
    <w:rsid w:val="000D3D8A"/>
    <w:rsid w:val="000D60DF"/>
    <w:rsid w:val="000E52F0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1A2"/>
    <w:rsid w:val="00151715"/>
    <w:rsid w:val="00153CDB"/>
    <w:rsid w:val="001540A8"/>
    <w:rsid w:val="0016028C"/>
    <w:rsid w:val="00162A93"/>
    <w:rsid w:val="00162CA0"/>
    <w:rsid w:val="00163C05"/>
    <w:rsid w:val="0016607F"/>
    <w:rsid w:val="00167C8E"/>
    <w:rsid w:val="0017281D"/>
    <w:rsid w:val="001766B1"/>
    <w:rsid w:val="00183B01"/>
    <w:rsid w:val="00184EDA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2C27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4B9D"/>
    <w:rsid w:val="002866A2"/>
    <w:rsid w:val="0029004F"/>
    <w:rsid w:val="0029017F"/>
    <w:rsid w:val="002915C2"/>
    <w:rsid w:val="00292268"/>
    <w:rsid w:val="00297DB9"/>
    <w:rsid w:val="002A0B04"/>
    <w:rsid w:val="002A0CF3"/>
    <w:rsid w:val="002A3617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2529"/>
    <w:rsid w:val="002F2A28"/>
    <w:rsid w:val="002F5CEA"/>
    <w:rsid w:val="00300A39"/>
    <w:rsid w:val="00301E39"/>
    <w:rsid w:val="003023DA"/>
    <w:rsid w:val="003027BB"/>
    <w:rsid w:val="00302C08"/>
    <w:rsid w:val="003035F8"/>
    <w:rsid w:val="00303AE7"/>
    <w:rsid w:val="00305E18"/>
    <w:rsid w:val="00307D5B"/>
    <w:rsid w:val="00315502"/>
    <w:rsid w:val="00315A7F"/>
    <w:rsid w:val="00317C32"/>
    <w:rsid w:val="003220DE"/>
    <w:rsid w:val="0032281F"/>
    <w:rsid w:val="00322C85"/>
    <w:rsid w:val="00323451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1E55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17E02"/>
    <w:rsid w:val="0042008A"/>
    <w:rsid w:val="004205FA"/>
    <w:rsid w:val="00420B6A"/>
    <w:rsid w:val="0042465F"/>
    <w:rsid w:val="00431145"/>
    <w:rsid w:val="0043130D"/>
    <w:rsid w:val="004400BC"/>
    <w:rsid w:val="00444DBC"/>
    <w:rsid w:val="004465D6"/>
    <w:rsid w:val="004502A5"/>
    <w:rsid w:val="0045108D"/>
    <w:rsid w:val="004531D3"/>
    <w:rsid w:val="00453266"/>
    <w:rsid w:val="004534D6"/>
    <w:rsid w:val="0045580C"/>
    <w:rsid w:val="00455E1D"/>
    <w:rsid w:val="00460C18"/>
    <w:rsid w:val="0046170B"/>
    <w:rsid w:val="00463B9E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0BDF"/>
    <w:rsid w:val="00495989"/>
    <w:rsid w:val="00496D67"/>
    <w:rsid w:val="0049782A"/>
    <w:rsid w:val="004A0B25"/>
    <w:rsid w:val="004A2F37"/>
    <w:rsid w:val="004A331D"/>
    <w:rsid w:val="004A3380"/>
    <w:rsid w:val="004A45BD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324A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2C18"/>
    <w:rsid w:val="0060609B"/>
    <w:rsid w:val="006067D8"/>
    <w:rsid w:val="00610776"/>
    <w:rsid w:val="006109C2"/>
    <w:rsid w:val="00610EE0"/>
    <w:rsid w:val="006110D0"/>
    <w:rsid w:val="00622835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2C95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16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00E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5970"/>
    <w:rsid w:val="00756005"/>
    <w:rsid w:val="007564F0"/>
    <w:rsid w:val="00757A08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0BD"/>
    <w:rsid w:val="007A768D"/>
    <w:rsid w:val="007B0D69"/>
    <w:rsid w:val="007B23C1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1659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49C9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45A01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356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2D90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5032"/>
    <w:rsid w:val="00A27F9F"/>
    <w:rsid w:val="00A30771"/>
    <w:rsid w:val="00A321FD"/>
    <w:rsid w:val="00A32FC8"/>
    <w:rsid w:val="00A363C4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3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7463"/>
    <w:rsid w:val="00BC144F"/>
    <w:rsid w:val="00BC1570"/>
    <w:rsid w:val="00BC2341"/>
    <w:rsid w:val="00BC27DE"/>
    <w:rsid w:val="00BC2E39"/>
    <w:rsid w:val="00BC659A"/>
    <w:rsid w:val="00BC67AB"/>
    <w:rsid w:val="00BD1C27"/>
    <w:rsid w:val="00BD380E"/>
    <w:rsid w:val="00BD50CF"/>
    <w:rsid w:val="00BD7EE2"/>
    <w:rsid w:val="00BE1878"/>
    <w:rsid w:val="00BE1E36"/>
    <w:rsid w:val="00BE23EF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3D09"/>
    <w:rsid w:val="00C6609E"/>
    <w:rsid w:val="00C663C5"/>
    <w:rsid w:val="00C6722F"/>
    <w:rsid w:val="00C7480D"/>
    <w:rsid w:val="00C74FAD"/>
    <w:rsid w:val="00C750AD"/>
    <w:rsid w:val="00C813AA"/>
    <w:rsid w:val="00C84C65"/>
    <w:rsid w:val="00C85186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2FE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0DED"/>
    <w:rsid w:val="00CF196D"/>
    <w:rsid w:val="00CF263C"/>
    <w:rsid w:val="00CF2960"/>
    <w:rsid w:val="00CF2D61"/>
    <w:rsid w:val="00CF7669"/>
    <w:rsid w:val="00CF7C66"/>
    <w:rsid w:val="00D0203E"/>
    <w:rsid w:val="00D04E83"/>
    <w:rsid w:val="00D04FFE"/>
    <w:rsid w:val="00D07EFB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D85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7695"/>
    <w:rsid w:val="00D87A5A"/>
    <w:rsid w:val="00D90B5E"/>
    <w:rsid w:val="00D91DCA"/>
    <w:rsid w:val="00D92DE2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6493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C7A22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3104"/>
    <w:rsid w:val="00EF66AB"/>
    <w:rsid w:val="00F00FDE"/>
    <w:rsid w:val="00F01972"/>
    <w:rsid w:val="00F05729"/>
    <w:rsid w:val="00F05CAC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5645"/>
    <w:rsid w:val="00F368B7"/>
    <w:rsid w:val="00F36B1C"/>
    <w:rsid w:val="00F4180B"/>
    <w:rsid w:val="00F42FA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76FD9"/>
    <w:rsid w:val="00F81338"/>
    <w:rsid w:val="00F8196A"/>
    <w:rsid w:val="00F81A3B"/>
    <w:rsid w:val="00F857B7"/>
    <w:rsid w:val="00F9103C"/>
    <w:rsid w:val="00F912D0"/>
    <w:rsid w:val="00F923CB"/>
    <w:rsid w:val="00F94BD6"/>
    <w:rsid w:val="00F96A14"/>
    <w:rsid w:val="00FA0F36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4B4E"/>
    <w:rsid w:val="00FC6188"/>
    <w:rsid w:val="00FC784D"/>
    <w:rsid w:val="00FD0E7B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F2E6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B4E"/>
    <w:pPr>
      <w:jc w:val="both"/>
    </w:pPr>
    <w:rPr>
      <w:rFonts w:ascii="Ve" w:hAnsi="Ve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="Calibri" w:eastAsia="MS Gothic" w:hAnsi="Calibri"/>
      <w:color w:val="365F9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="Calibri" w:eastAsia="MS Gothic" w:hAnsi="Calibri"/>
      <w:i/>
      <w:iCs/>
      <w:color w:val="365F91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="Cambria" w:hAnsi="Cambria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="Cambria" w:hAnsi="Cambria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uiPriority w:val="99"/>
    <w:unhideWhenUsed/>
    <w:rsid w:val="001F3896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="Cambria"/>
    </w:rPr>
  </w:style>
  <w:style w:type="paragraph" w:customStyle="1" w:styleId="Corpodeltesto21">
    <w:name w:val="Corpo del testo 21"/>
    <w:basedOn w:val="Normale"/>
    <w:rsid w:val="00C20CD8"/>
    <w:pPr>
      <w:suppressAutoHyphens/>
    </w:pPr>
    <w:rPr>
      <w:rFonts w:eastAsia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B26D6D"/>
    <w:rPr>
      <w:color w:val="800080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link w:val="Titolo4"/>
    <w:uiPriority w:val="9"/>
    <w:semiHidden/>
    <w:rsid w:val="00183B01"/>
    <w:rPr>
      <w:rFonts w:ascii="Calibri" w:eastAsia="MS Gothic" w:hAnsi="Calibri" w:cs="Times New Roman"/>
      <w:i/>
      <w:iCs/>
      <w:color w:val="365F91"/>
      <w:szCs w:val="20"/>
      <w:lang w:eastAsia="ar-SA"/>
    </w:rPr>
  </w:style>
  <w:style w:type="character" w:customStyle="1" w:styleId="Titolo1Carattere">
    <w:name w:val="Titolo 1 Carattere"/>
    <w:link w:val="Titolo1"/>
    <w:uiPriority w:val="9"/>
    <w:rsid w:val="00183B01"/>
    <w:rPr>
      <w:rFonts w:ascii="Calibri" w:eastAsia="MS Gothic" w:hAnsi="Calibri" w:cs="Times New Roman"/>
      <w:color w:val="365F91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link w:val="Titolo3"/>
    <w:uiPriority w:val="9"/>
    <w:semiHidden/>
    <w:rsid w:val="002C7FC8"/>
    <w:rPr>
      <w:rFonts w:ascii="Calibri" w:eastAsia="MS Gothic" w:hAnsi="Calibri" w:cs="Times New Roman"/>
      <w:color w:val="243F60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hAnsi="Arial-ItalicMT" w:cs="Times New Roman"/>
      <w:color w:val="000000"/>
      <w:sz w:val="24"/>
      <w:szCs w:val="24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uiPriority w:val="9"/>
    <w:semiHidden/>
    <w:rsid w:val="00515F17"/>
    <w:rPr>
      <w:rFonts w:ascii="Calibri" w:eastAsia="MS Gothic" w:hAnsi="Calibri" w:cs="Times New Roman"/>
      <w:color w:val="365F91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a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Desktop/Scatole%20di%20derivazione%20da%20parete%20S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3D2B06AC89964ABD84F40ADF9C0252" ma:contentTypeVersion="0" ma:contentTypeDescription="Creare un nuovo documento." ma:contentTypeScope="" ma:versionID="89c2667eb184f295ccbe95952588d4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e4509d31ed0e9f3919fd98e98c4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35B5B-F8AF-4BF0-9AF3-9D3936B37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B3A64-59AB-4450-ABAA-2CE62960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C47D9-8A55-C849-970C-45FD0189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Scatole di derivazione da parete SD.dot</Template>
  <TotalTime>1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4215</CharactersWithSpaces>
  <SharedDoc>false</SharedDoc>
  <HyperlinkBase/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http://www.ave.it/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2020-09-25T07:58:00Z</dcterms:created>
  <dcterms:modified xsi:type="dcterms:W3CDTF">2020-09-25T07:58:00Z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0x010100D23D2B06AC89964ABD84F40ADF9C0252</vt:lpwstr>
  </property>
</Properties>
</file>