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3FD2A" w14:textId="74FD716D" w:rsidR="005465DB" w:rsidRDefault="00DB1941" w:rsidP="005465DB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  <w:r w:rsidRPr="00DB1941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Great success for AVE at Light + Building</w:t>
      </w:r>
    </w:p>
    <w:p w14:paraId="39F55730" w14:textId="77777777" w:rsidR="00DB1941" w:rsidRPr="000A296D" w:rsidRDefault="00DB1941" w:rsidP="005465DB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</w:p>
    <w:p w14:paraId="55974546" w14:textId="4ED1FB88" w:rsidR="005465DB" w:rsidRPr="00DB1941" w:rsidRDefault="00DB1941" w:rsidP="005465DB">
      <w:pPr>
        <w:jc w:val="center"/>
        <w:textAlignment w:val="baseline"/>
        <w:rPr>
          <w:rFonts w:ascii="Verdana" w:hAnsi="Verdana"/>
          <w:b/>
          <w:bCs/>
          <w:i/>
          <w:iCs/>
          <w:sz w:val="22"/>
          <w:szCs w:val="22"/>
          <w:lang w:val="en-US"/>
        </w:rPr>
      </w:pPr>
      <w:r w:rsidRPr="00DB1941">
        <w:rPr>
          <w:rFonts w:ascii="Verdana" w:hAnsi="Verdana"/>
          <w:b/>
          <w:bCs/>
          <w:i/>
          <w:iCs/>
          <w:sz w:val="22"/>
          <w:szCs w:val="22"/>
          <w:lang w:val="en-US"/>
        </w:rPr>
        <w:t>AVE solutions were widely appreciated during the famous international exhibition dedicated to lighting and construction</w:t>
      </w:r>
      <w:r>
        <w:rPr>
          <w:rFonts w:ascii="Verdana" w:hAnsi="Verdana"/>
          <w:b/>
          <w:bCs/>
          <w:i/>
          <w:iCs/>
          <w:sz w:val="22"/>
          <w:szCs w:val="22"/>
          <w:lang w:val="en-US"/>
        </w:rPr>
        <w:t xml:space="preserve"> sectors</w:t>
      </w:r>
      <w:r w:rsidRPr="00DB1941">
        <w:rPr>
          <w:rFonts w:ascii="Verdana" w:hAnsi="Verdana"/>
          <w:b/>
          <w:bCs/>
          <w:i/>
          <w:iCs/>
          <w:sz w:val="22"/>
          <w:szCs w:val="22"/>
          <w:lang w:val="en-US"/>
        </w:rPr>
        <w:t>.</w:t>
      </w:r>
    </w:p>
    <w:p w14:paraId="20DD2859" w14:textId="77777777" w:rsidR="00DB1941" w:rsidRPr="00DB1941" w:rsidRDefault="00DB1941" w:rsidP="005465DB">
      <w:pPr>
        <w:jc w:val="center"/>
        <w:textAlignment w:val="baseline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</w:p>
    <w:p w14:paraId="3A274356" w14:textId="013F0D9F" w:rsidR="00DB1941" w:rsidRPr="00DB1941" w:rsidRDefault="00DB1941" w:rsidP="005465DB">
      <w:pPr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Held from 2 to 6 October 2022</w:t>
      </w: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in</w:t>
      </w: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Frankfurt, </w:t>
      </w:r>
      <w:r w:rsidRPr="00DB1941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>Light + Building Autumn Edition positively welcomed the AVE solutions</w:t>
      </w: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.</w:t>
      </w:r>
    </w:p>
    <w:p w14:paraId="48261A3C" w14:textId="77777777" w:rsidR="005465DB" w:rsidRPr="00BC29D9" w:rsidRDefault="005465DB" w:rsidP="005465DB">
      <w:pPr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</w:p>
    <w:p w14:paraId="6418A592" w14:textId="095EDF11" w:rsidR="00DB1941" w:rsidRPr="00DB1941" w:rsidRDefault="00DB1941" w:rsidP="005465DB">
      <w:pPr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In particular, the vast public of Light + Building </w:t>
      </w:r>
      <w:r w:rsidR="00676748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were </w:t>
      </w:r>
      <w:r w:rsidR="00676748" w:rsidRPr="00676748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able to </w:t>
      </w: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admir</w:t>
      </w:r>
      <w:r w:rsidR="00676748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e the</w:t>
      </w: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</w:t>
      </w:r>
      <w:r w:rsidRPr="00676748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>home automation</w:t>
      </w: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</w:t>
      </w:r>
      <w:r w:rsidR="00676748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product </w:t>
      </w: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news</w:t>
      </w: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, both</w:t>
      </w:r>
      <w:r w:rsidR="00676748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for</w:t>
      </w: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</w:t>
      </w:r>
      <w:proofErr w:type="spellStart"/>
      <w:r w:rsidRPr="00676748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>AVEbus</w:t>
      </w:r>
      <w:proofErr w:type="spellEnd"/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proprietary system </w:t>
      </w: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proposals </w:t>
      </w: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and </w:t>
      </w:r>
      <w:r w:rsidRPr="00C61C1A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KNX</w:t>
      </w: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standard</w:t>
      </w: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ones</w:t>
      </w: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. Among the new products that expand and complete the </w:t>
      </w:r>
      <w:r w:rsidRPr="00C61C1A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>KNX range</w:t>
      </w:r>
      <w:r w:rsidR="003A0C8C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- </w:t>
      </w: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in addition to the flush-mounted devices (as </w:t>
      </w: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switches</w:t>
      </w: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and Room Controller)</w:t>
      </w:r>
      <w:r w:rsidR="003A0C8C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-</w:t>
      </w: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the</w:t>
      </w: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re were</w:t>
      </w: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new </w:t>
      </w:r>
      <w:r w:rsidRPr="00676748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>DIN rail devices</w:t>
      </w:r>
      <w:r w:rsidRPr="00DB1941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designed to manage various functions, such as light actuators (including the DALI system), roller shutter actuators and multifunction actuators for valves and fan coils (for 2 or 4-pipe systems).</w:t>
      </w:r>
    </w:p>
    <w:p w14:paraId="5ECFB03A" w14:textId="3ECE1F3B" w:rsidR="005465DB" w:rsidRPr="003A0C8C" w:rsidRDefault="005465DB" w:rsidP="005465DB">
      <w:pPr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</w:p>
    <w:p w14:paraId="0490F387" w14:textId="3EB481A2" w:rsidR="00676748" w:rsidRDefault="00676748" w:rsidP="005465DB">
      <w:pPr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E</w:t>
      </w:r>
      <w:r w:rsidRPr="00676748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xhibition </w:t>
      </w: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v</w:t>
      </w:r>
      <w:r w:rsidRPr="00676748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isitors were also able to appreciate the new </w:t>
      </w:r>
      <w:r w:rsidRPr="00891B96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>IoT wiring accessories series</w:t>
      </w:r>
      <w:r w:rsidRPr="00676748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and the new ranges dedicated to </w:t>
      </w:r>
      <w:r w:rsidRPr="00891B96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 xml:space="preserve">2-wire and IP </w:t>
      </w:r>
      <w:r w:rsidR="00891B96" w:rsidRPr="00891B96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>video intercom</w:t>
      </w:r>
      <w:r w:rsidRPr="00891B96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 xml:space="preserve"> systems </w:t>
      </w:r>
      <w:r w:rsidRPr="00676748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which, in addition to their technological value, stood out for their elegant and avant-garde aesthetics. Conceived to emphasize electrical systems with made in Italy design, the </w:t>
      </w:r>
      <w:r w:rsidRPr="00891B96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 xml:space="preserve">innovative AVE </w:t>
      </w:r>
      <w:r w:rsidR="00891B96" w:rsidRPr="00891B96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>switches</w:t>
      </w:r>
      <w:r w:rsidRPr="00676748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</w:t>
      </w:r>
      <w:r w:rsidR="00891B96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(</w:t>
      </w:r>
      <w:r w:rsidR="00891B96" w:rsidRPr="00676748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traditional</w:t>
      </w:r>
      <w:r w:rsidR="00891B96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, </w:t>
      </w:r>
      <w:r w:rsidR="00891B96" w:rsidRPr="00676748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touch and toggle</w:t>
      </w:r>
      <w:r w:rsidR="00891B96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) </w:t>
      </w:r>
      <w:r w:rsidRPr="00676748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also attracted attention, earning very positive reviews from professionals.</w:t>
      </w:r>
    </w:p>
    <w:p w14:paraId="2DDE0410" w14:textId="394E95FB" w:rsidR="00891B96" w:rsidRDefault="00891B96" w:rsidP="005465DB">
      <w:pPr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</w:p>
    <w:p w14:paraId="4D15F58E" w14:textId="1BA90751" w:rsidR="00891B96" w:rsidRPr="00891B96" w:rsidRDefault="00891B96" w:rsidP="00891B96">
      <w:pPr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  <w:r w:rsidRPr="00891B96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Therefore</w:t>
      </w: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, </w:t>
      </w:r>
      <w:r w:rsidRPr="00891B96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>Light + Building Autumn Edition 2022</w:t>
      </w:r>
      <w:r w:rsidRPr="00891B96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was another great success for AVE and the innovation that for years has seen it as a protagonist on the international stage with quality solutions, developed to adapt to the different standards and needs of a constantly evolving sector.</w:t>
      </w:r>
    </w:p>
    <w:p w14:paraId="5E7A3083" w14:textId="77777777" w:rsidR="00891B96" w:rsidRPr="00891B96" w:rsidRDefault="00891B96" w:rsidP="00891B96">
      <w:pPr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</w:p>
    <w:p w14:paraId="10A3E8F6" w14:textId="77777777" w:rsidR="00891B96" w:rsidRPr="00891B96" w:rsidRDefault="00891B96" w:rsidP="00891B96">
      <w:pPr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</w:p>
    <w:p w14:paraId="16DC928E" w14:textId="111672C7" w:rsidR="00891B96" w:rsidRPr="00676748" w:rsidRDefault="00891B96" w:rsidP="00891B96">
      <w:pPr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  <w:proofErr w:type="spellStart"/>
      <w:r w:rsidRPr="00891B96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Rezzato</w:t>
      </w:r>
      <w:proofErr w:type="spellEnd"/>
      <w:r w:rsidRPr="00891B96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, October 1</w:t>
      </w:r>
      <w:r w:rsidR="00BC29D9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1</w:t>
      </w:r>
      <w:r w:rsidRPr="00891B96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th, 2022</w:t>
      </w:r>
    </w:p>
    <w:p w14:paraId="3E516259" w14:textId="77777777" w:rsidR="005465DB" w:rsidRPr="00BC29D9" w:rsidRDefault="005465DB" w:rsidP="005465DB">
      <w:pPr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</w:p>
    <w:p w14:paraId="5E73BEB6" w14:textId="77777777" w:rsidR="00DC4218" w:rsidRPr="00BC29D9" w:rsidRDefault="00DC4218" w:rsidP="00891B96">
      <w:pPr>
        <w:rPr>
          <w:rFonts w:ascii="Verdana" w:hAnsi="Verdana"/>
          <w:b/>
          <w:sz w:val="20"/>
          <w:szCs w:val="20"/>
          <w:lang w:val="en-US"/>
        </w:rPr>
      </w:pPr>
    </w:p>
    <w:p w14:paraId="19682848" w14:textId="77777777" w:rsidR="00DC4218" w:rsidRPr="00BC29D9" w:rsidRDefault="00DC4218" w:rsidP="00DC4218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4BDE15AB" w14:textId="77777777" w:rsidR="00DC4218" w:rsidRPr="00BC29D9" w:rsidRDefault="00DC4218" w:rsidP="00DC4218">
      <w:pPr>
        <w:jc w:val="center"/>
        <w:rPr>
          <w:rFonts w:ascii="Verdana" w:hAnsi="Verdana"/>
          <w:b/>
          <w:i/>
          <w:iCs/>
          <w:sz w:val="20"/>
          <w:szCs w:val="20"/>
          <w:lang w:val="en-US"/>
        </w:rPr>
      </w:pPr>
      <w:r w:rsidRPr="00BC29D9">
        <w:rPr>
          <w:rFonts w:ascii="Verdana" w:hAnsi="Verdana"/>
          <w:b/>
          <w:sz w:val="20"/>
          <w:szCs w:val="20"/>
          <w:lang w:val="en-US"/>
        </w:rPr>
        <w:t>www.ave.it</w:t>
      </w:r>
    </w:p>
    <w:p w14:paraId="467F2070" w14:textId="77777777" w:rsidR="0054215E" w:rsidRPr="00BC29D9" w:rsidRDefault="0054215E" w:rsidP="000A296D">
      <w:pPr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</w:p>
    <w:p w14:paraId="40359294" w14:textId="77777777" w:rsidR="00F001E4" w:rsidRPr="00BC29D9" w:rsidRDefault="00F001E4" w:rsidP="000A296D">
      <w:pPr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</w:p>
    <w:p w14:paraId="2F7263F6" w14:textId="443AF328" w:rsidR="00BD4B86" w:rsidRPr="00BC29D9" w:rsidRDefault="00BD4B86" w:rsidP="0054215E">
      <w:pPr>
        <w:jc w:val="both"/>
        <w:rPr>
          <w:rFonts w:ascii="Verdana" w:hAnsi="Verdana"/>
          <w:b/>
          <w:i/>
          <w:iCs/>
          <w:sz w:val="20"/>
          <w:szCs w:val="20"/>
          <w:lang w:val="en-US"/>
        </w:rPr>
      </w:pPr>
    </w:p>
    <w:p w14:paraId="0E55D480" w14:textId="03733818" w:rsidR="00AF6B88" w:rsidRPr="00BC29D9" w:rsidRDefault="00AF6B88" w:rsidP="00BD4B86">
      <w:pPr>
        <w:rPr>
          <w:lang w:val="en-US"/>
        </w:rPr>
      </w:pPr>
    </w:p>
    <w:sectPr w:rsidR="00AF6B88" w:rsidRPr="00BC29D9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EC005" w14:textId="77777777" w:rsidR="009449B6" w:rsidRDefault="009449B6" w:rsidP="00BD1C27">
      <w:r>
        <w:separator/>
      </w:r>
    </w:p>
  </w:endnote>
  <w:endnote w:type="continuationSeparator" w:id="0">
    <w:p w14:paraId="0C2A8481" w14:textId="77777777" w:rsidR="009449B6" w:rsidRDefault="009449B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5DA27557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732E9" w14:textId="77777777" w:rsidR="009449B6" w:rsidRDefault="009449B6" w:rsidP="00BD1C27">
      <w:r>
        <w:separator/>
      </w:r>
    </w:p>
  </w:footnote>
  <w:footnote w:type="continuationSeparator" w:id="0">
    <w:p w14:paraId="5D91A0A7" w14:textId="77777777" w:rsidR="009449B6" w:rsidRDefault="009449B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5"/>
  </w:num>
  <w:num w:numId="5">
    <w:abstractNumId w:val="28"/>
  </w:num>
  <w:num w:numId="6">
    <w:abstractNumId w:val="24"/>
  </w:num>
  <w:num w:numId="7">
    <w:abstractNumId w:val="26"/>
  </w:num>
  <w:num w:numId="8">
    <w:abstractNumId w:val="19"/>
  </w:num>
  <w:num w:numId="9">
    <w:abstractNumId w:val="1"/>
  </w:num>
  <w:num w:numId="10">
    <w:abstractNumId w:val="14"/>
  </w:num>
  <w:num w:numId="11">
    <w:abstractNumId w:val="25"/>
  </w:num>
  <w:num w:numId="12">
    <w:abstractNumId w:val="9"/>
  </w:num>
  <w:num w:numId="13">
    <w:abstractNumId w:val="30"/>
  </w:num>
  <w:num w:numId="14">
    <w:abstractNumId w:val="10"/>
  </w:num>
  <w:num w:numId="15">
    <w:abstractNumId w:val="4"/>
  </w:num>
  <w:num w:numId="16">
    <w:abstractNumId w:val="29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23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21"/>
  </w:num>
  <w:num w:numId="30">
    <w:abstractNumId w:val="13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0394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5832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06DA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97A12"/>
    <w:rsid w:val="003A08C7"/>
    <w:rsid w:val="003A0C8C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456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0A78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215E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65DB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012"/>
    <w:rsid w:val="00661D97"/>
    <w:rsid w:val="00662179"/>
    <w:rsid w:val="00662B67"/>
    <w:rsid w:val="0066367B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748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1E3B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1C3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5146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B96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1AC4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49B6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AEB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9D9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1C1A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7F8"/>
    <w:rsid w:val="00DB08E1"/>
    <w:rsid w:val="00DB194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218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06F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2022-10-11T07:58:00Z</dcterms:created>
  <dcterms:modified xsi:type="dcterms:W3CDTF">2022-10-11T07:58:00Z</dcterms:modified>
  <cp:category/>
</cp:coreProperties>
</file>