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A83A0" w14:textId="60B98099" w:rsidR="007A1E33" w:rsidRPr="00846366" w:rsidRDefault="00CD346A" w:rsidP="007A1E33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846366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AVE S44 h</w:t>
      </w:r>
      <w:r w:rsidR="003E77D9" w:rsidRPr="00846366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igh</w:t>
      </w:r>
      <w:r w:rsidRPr="00846366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-</w:t>
      </w:r>
      <w:r w:rsidR="003E77D9" w:rsidRPr="00846366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visibility controls</w:t>
      </w:r>
    </w:p>
    <w:p w14:paraId="647646C2" w14:textId="77777777" w:rsidR="003E77D9" w:rsidRPr="00846366" w:rsidRDefault="003E77D9" w:rsidP="007A1E33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1CD9E9D9" w14:textId="1F2AC3DC" w:rsidR="007A1E33" w:rsidRPr="003E77D9" w:rsidRDefault="003E77D9" w:rsidP="007A1E33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3E77D9">
        <w:rPr>
          <w:rFonts w:ascii="Verdana" w:hAnsi="Verdana"/>
          <w:b/>
          <w:bCs/>
          <w:sz w:val="22"/>
          <w:szCs w:val="22"/>
          <w:lang w:val="en-US"/>
        </w:rPr>
        <w:t>With a</w:t>
      </w:r>
      <w:r w:rsidR="001E7CD2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3E77D9">
        <w:rPr>
          <w:rFonts w:ascii="Verdana" w:hAnsi="Verdana"/>
          <w:b/>
          <w:bCs/>
          <w:sz w:val="22"/>
          <w:szCs w:val="22"/>
          <w:lang w:val="en-US"/>
        </w:rPr>
        <w:t xml:space="preserve">brighter gem </w:t>
      </w:r>
      <w:r w:rsidR="001E7CD2">
        <w:rPr>
          <w:rFonts w:ascii="Verdana" w:hAnsi="Verdana"/>
          <w:b/>
          <w:bCs/>
          <w:sz w:val="22"/>
          <w:szCs w:val="22"/>
          <w:lang w:val="en-US"/>
        </w:rPr>
        <w:t>that</w:t>
      </w:r>
      <w:r w:rsidRPr="003E77D9">
        <w:rPr>
          <w:rFonts w:ascii="Verdana" w:hAnsi="Verdana"/>
          <w:b/>
          <w:bCs/>
          <w:sz w:val="22"/>
          <w:szCs w:val="22"/>
          <w:lang w:val="en-US"/>
        </w:rPr>
        <w:t xml:space="preserve"> emphasize</w:t>
      </w:r>
      <w:r w:rsidR="001E7CD2">
        <w:rPr>
          <w:rFonts w:ascii="Verdana" w:hAnsi="Verdana"/>
          <w:b/>
          <w:bCs/>
          <w:sz w:val="22"/>
          <w:szCs w:val="22"/>
          <w:lang w:val="en-US"/>
        </w:rPr>
        <w:t>s</w:t>
      </w:r>
      <w:r w:rsidRPr="003E77D9">
        <w:rPr>
          <w:rFonts w:ascii="Verdana" w:hAnsi="Verdana"/>
          <w:b/>
          <w:bCs/>
          <w:sz w:val="22"/>
          <w:szCs w:val="22"/>
          <w:lang w:val="en-US"/>
        </w:rPr>
        <w:t xml:space="preserve"> the light point and its functionality.</w:t>
      </w:r>
    </w:p>
    <w:p w14:paraId="4C40E463" w14:textId="77777777" w:rsidR="003E77D9" w:rsidRPr="003E77D9" w:rsidRDefault="003E77D9" w:rsidP="007A1E33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</w:p>
    <w:p w14:paraId="68033DD2" w14:textId="13B39788" w:rsidR="003E77D9" w:rsidRDefault="003E77D9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 w:rsidRPr="003E77D9">
        <w:rPr>
          <w:rFonts w:ascii="Verdana" w:hAnsi="Verdana"/>
          <w:bCs/>
          <w:sz w:val="20"/>
          <w:szCs w:val="20"/>
          <w:lang w:val="en-US"/>
        </w:rPr>
        <w:t xml:space="preserve">The </w:t>
      </w:r>
      <w:r w:rsidRPr="003E77D9">
        <w:rPr>
          <w:rFonts w:ascii="Verdana" w:hAnsi="Verdana"/>
          <w:b/>
          <w:sz w:val="20"/>
          <w:szCs w:val="20"/>
          <w:lang w:val="en-US"/>
        </w:rPr>
        <w:t>AVE System 44 range</w:t>
      </w:r>
      <w:r w:rsidRPr="003E77D9">
        <w:rPr>
          <w:rFonts w:ascii="Verdana" w:hAnsi="Verdana"/>
          <w:bCs/>
          <w:sz w:val="20"/>
          <w:szCs w:val="20"/>
          <w:lang w:val="en-US"/>
        </w:rPr>
        <w:t xml:space="preserve"> has been expanded with the introduction of </w:t>
      </w:r>
      <w:r w:rsidRPr="003E77D9">
        <w:rPr>
          <w:rFonts w:ascii="Verdana" w:hAnsi="Verdana"/>
          <w:b/>
          <w:sz w:val="20"/>
          <w:szCs w:val="20"/>
          <w:lang w:val="en-US"/>
        </w:rPr>
        <w:t>high-visibility controls</w:t>
      </w:r>
      <w:r w:rsidRPr="003E77D9">
        <w:rPr>
          <w:rFonts w:ascii="Verdana" w:hAnsi="Verdana"/>
          <w:bCs/>
          <w:sz w:val="20"/>
          <w:szCs w:val="20"/>
          <w:lang w:val="en-US"/>
        </w:rPr>
        <w:t>, designed to improve their visibility in the dark and further refine the aesthetics of the buttons.</w:t>
      </w:r>
    </w:p>
    <w:p w14:paraId="6BC8FCC4" w14:textId="64A2B129" w:rsidR="003E77D9" w:rsidRPr="003E77D9" w:rsidRDefault="003E77D9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 w:rsidRPr="003E77D9">
        <w:rPr>
          <w:rFonts w:ascii="Verdana" w:hAnsi="Verdana"/>
          <w:bCs/>
          <w:sz w:val="20"/>
          <w:szCs w:val="20"/>
          <w:lang w:val="en-US"/>
        </w:rPr>
        <w:t xml:space="preserve">This innovation is underpinned by a </w:t>
      </w:r>
      <w:r w:rsidRPr="003E77D9">
        <w:rPr>
          <w:rFonts w:ascii="Verdana" w:hAnsi="Verdana"/>
          <w:b/>
          <w:sz w:val="20"/>
          <w:szCs w:val="20"/>
          <w:lang w:val="en-US"/>
        </w:rPr>
        <w:t>high-brightness gem</w:t>
      </w:r>
      <w:r w:rsidR="001E7CD2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3E77D9">
        <w:rPr>
          <w:rFonts w:ascii="Verdana" w:hAnsi="Verdana"/>
          <w:bCs/>
          <w:sz w:val="20"/>
          <w:szCs w:val="20"/>
          <w:lang w:val="en-US"/>
        </w:rPr>
        <w:t xml:space="preserve">that can be illuminated by current LED lamps. It features double knurling, an element that gives the buttons a distinctive design and makes the </w:t>
      </w:r>
      <w:r>
        <w:rPr>
          <w:rFonts w:ascii="Verdana" w:hAnsi="Verdana"/>
          <w:bCs/>
          <w:sz w:val="20"/>
          <w:szCs w:val="20"/>
          <w:lang w:val="en-US"/>
        </w:rPr>
        <w:t>inner part</w:t>
      </w:r>
      <w:r w:rsidRPr="003E77D9">
        <w:rPr>
          <w:rFonts w:ascii="Verdana" w:hAnsi="Verdana"/>
          <w:bCs/>
          <w:sz w:val="20"/>
          <w:szCs w:val="20"/>
          <w:lang w:val="en-US"/>
        </w:rPr>
        <w:t xml:space="preserve"> of the control itself as invisible as possible.</w:t>
      </w:r>
    </w:p>
    <w:p w14:paraId="59EB01C1" w14:textId="6E49250B" w:rsidR="003E77D9" w:rsidRDefault="003E77D9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 w:rsidRPr="003E77D9">
        <w:rPr>
          <w:rFonts w:ascii="Verdana" w:hAnsi="Verdana"/>
          <w:bCs/>
          <w:sz w:val="20"/>
          <w:szCs w:val="20"/>
          <w:lang w:val="en-US"/>
        </w:rPr>
        <w:t>AVE's offerings with high-visibility gems include:</w:t>
      </w:r>
    </w:p>
    <w:p w14:paraId="7F207A87" w14:textId="28243A66" w:rsidR="00483E39" w:rsidRDefault="003E77D9" w:rsidP="00483E39">
      <w:pPr>
        <w:pStyle w:val="Paragrafoelenco"/>
        <w:numPr>
          <w:ilvl w:val="0"/>
          <w:numId w:val="50"/>
        </w:numPr>
        <w:spacing w:after="240" w:line="280" w:lineRule="exact"/>
        <w:jc w:val="both"/>
        <w:rPr>
          <w:rFonts w:ascii="Verdana" w:hAnsi="Verdana"/>
          <w:bCs/>
          <w:sz w:val="20"/>
          <w:lang w:val="en-US"/>
        </w:rPr>
      </w:pPr>
      <w:r w:rsidRPr="00483E39">
        <w:rPr>
          <w:rFonts w:ascii="Verdana" w:hAnsi="Verdana"/>
          <w:b/>
          <w:sz w:val="20"/>
          <w:lang w:val="en-US"/>
        </w:rPr>
        <w:t>Pushbuttons with key</w:t>
      </w:r>
      <w:r w:rsidRPr="00483E39">
        <w:rPr>
          <w:rFonts w:ascii="Verdana" w:hAnsi="Verdana"/>
          <w:bCs/>
          <w:sz w:val="20"/>
          <w:lang w:val="en-US"/>
        </w:rPr>
        <w:t xml:space="preserve">, available for the Whitek (code 446005SL), Tekla (code 445005SL), </w:t>
      </w:r>
      <w:proofErr w:type="spellStart"/>
      <w:r w:rsidRPr="00483E39">
        <w:rPr>
          <w:rFonts w:ascii="Verdana" w:hAnsi="Verdana"/>
          <w:bCs/>
          <w:sz w:val="20"/>
          <w:lang w:val="en-US"/>
        </w:rPr>
        <w:t>Allumia</w:t>
      </w:r>
      <w:proofErr w:type="spellEnd"/>
      <w:r w:rsidRPr="00483E39">
        <w:rPr>
          <w:rFonts w:ascii="Verdana" w:hAnsi="Verdana"/>
          <w:bCs/>
          <w:sz w:val="20"/>
          <w:lang w:val="en-US"/>
        </w:rPr>
        <w:t xml:space="preserve"> (code 443005SL), Domus (code 441005SL) and Class (code 449005SL) series;</w:t>
      </w:r>
    </w:p>
    <w:p w14:paraId="10E11368" w14:textId="77777777" w:rsidR="00483E39" w:rsidRDefault="00483E39" w:rsidP="00483E39">
      <w:pPr>
        <w:pStyle w:val="Paragrafoelenco"/>
        <w:spacing w:after="240" w:line="280" w:lineRule="exact"/>
        <w:jc w:val="both"/>
        <w:rPr>
          <w:rFonts w:ascii="Verdana" w:hAnsi="Verdana"/>
          <w:bCs/>
          <w:sz w:val="20"/>
          <w:lang w:val="en-US"/>
        </w:rPr>
      </w:pPr>
    </w:p>
    <w:p w14:paraId="3D3F9D2E" w14:textId="4452B68E" w:rsidR="00483E39" w:rsidRDefault="003E77D9" w:rsidP="00483E39">
      <w:pPr>
        <w:pStyle w:val="Paragrafoelenco"/>
        <w:numPr>
          <w:ilvl w:val="0"/>
          <w:numId w:val="50"/>
        </w:numPr>
        <w:spacing w:after="240" w:line="280" w:lineRule="exact"/>
        <w:jc w:val="both"/>
        <w:rPr>
          <w:rFonts w:ascii="Verdana" w:hAnsi="Verdana"/>
          <w:bCs/>
          <w:sz w:val="20"/>
          <w:lang w:val="en-US"/>
        </w:rPr>
      </w:pPr>
      <w:r w:rsidRPr="00483E39">
        <w:rPr>
          <w:rFonts w:ascii="Verdana" w:hAnsi="Verdana"/>
          <w:b/>
          <w:sz w:val="20"/>
          <w:lang w:val="en-US"/>
        </w:rPr>
        <w:t>Bipolar switch</w:t>
      </w:r>
      <w:r w:rsidR="001E7CD2" w:rsidRPr="00483E39">
        <w:rPr>
          <w:rFonts w:ascii="Verdana" w:hAnsi="Verdana"/>
          <w:b/>
          <w:sz w:val="20"/>
          <w:lang w:val="en-US"/>
        </w:rPr>
        <w:t xml:space="preserve"> </w:t>
      </w:r>
      <w:r w:rsidRPr="00483E39">
        <w:rPr>
          <w:rFonts w:ascii="Verdana" w:hAnsi="Verdana"/>
          <w:b/>
          <w:sz w:val="20"/>
          <w:lang w:val="en-US"/>
        </w:rPr>
        <w:t>with key</w:t>
      </w:r>
      <w:r w:rsidRPr="00483E39">
        <w:rPr>
          <w:rFonts w:ascii="Verdana" w:hAnsi="Verdana"/>
          <w:bCs/>
          <w:sz w:val="20"/>
          <w:lang w:val="en-US"/>
        </w:rPr>
        <w:t xml:space="preserve">, available for Whitek (code 446010SL), Tekla (code 445010SL), </w:t>
      </w:r>
      <w:proofErr w:type="spellStart"/>
      <w:r w:rsidRPr="00483E39">
        <w:rPr>
          <w:rFonts w:ascii="Verdana" w:hAnsi="Verdana"/>
          <w:bCs/>
          <w:sz w:val="20"/>
          <w:lang w:val="en-US"/>
        </w:rPr>
        <w:t>Allumia</w:t>
      </w:r>
      <w:proofErr w:type="spellEnd"/>
      <w:r w:rsidRPr="00483E39">
        <w:rPr>
          <w:rFonts w:ascii="Verdana" w:hAnsi="Verdana"/>
          <w:bCs/>
          <w:sz w:val="20"/>
          <w:lang w:val="en-US"/>
        </w:rPr>
        <w:t xml:space="preserve"> (code 443010SL), Domus (code 441010SL) and Class (code 449010SL) series</w:t>
      </w:r>
      <w:r w:rsidR="00483E39">
        <w:rPr>
          <w:rFonts w:ascii="Verdana" w:hAnsi="Verdana"/>
          <w:bCs/>
          <w:sz w:val="20"/>
          <w:lang w:val="en-US"/>
        </w:rPr>
        <w:t>;</w:t>
      </w:r>
    </w:p>
    <w:p w14:paraId="34323C21" w14:textId="77777777" w:rsidR="00483E39" w:rsidRPr="00483E39" w:rsidRDefault="00483E39" w:rsidP="00483E39">
      <w:pPr>
        <w:pStyle w:val="Paragrafoelenco"/>
        <w:spacing w:after="240" w:line="280" w:lineRule="exact"/>
        <w:jc w:val="both"/>
        <w:rPr>
          <w:rFonts w:ascii="Verdana" w:hAnsi="Verdana"/>
          <w:bCs/>
          <w:sz w:val="20"/>
          <w:lang w:val="en-US"/>
        </w:rPr>
      </w:pPr>
    </w:p>
    <w:p w14:paraId="071F1AA6" w14:textId="1B93B62B" w:rsidR="003E77D9" w:rsidRPr="00483E39" w:rsidRDefault="003E77D9" w:rsidP="003E77D9">
      <w:pPr>
        <w:pStyle w:val="Paragrafoelenco"/>
        <w:numPr>
          <w:ilvl w:val="0"/>
          <w:numId w:val="50"/>
        </w:numPr>
        <w:spacing w:after="240" w:line="280" w:lineRule="exact"/>
        <w:jc w:val="both"/>
        <w:rPr>
          <w:rFonts w:ascii="Verdana" w:hAnsi="Verdana"/>
          <w:bCs/>
          <w:sz w:val="20"/>
          <w:lang w:val="en-US"/>
        </w:rPr>
      </w:pPr>
      <w:r w:rsidRPr="00483E39">
        <w:rPr>
          <w:rFonts w:ascii="Verdana" w:hAnsi="Verdana"/>
          <w:b/>
          <w:sz w:val="20"/>
          <w:lang w:val="en-US"/>
        </w:rPr>
        <w:t>Keys</w:t>
      </w:r>
      <w:r w:rsidRPr="00483E39">
        <w:rPr>
          <w:rFonts w:ascii="Verdana" w:hAnsi="Verdana"/>
          <w:bCs/>
          <w:sz w:val="20"/>
          <w:lang w:val="en-US"/>
        </w:rPr>
        <w:t xml:space="preserve"> available for Whitek (code 446TSL), Tekla (code 445TSL), </w:t>
      </w:r>
      <w:proofErr w:type="spellStart"/>
      <w:r w:rsidRPr="00483E39">
        <w:rPr>
          <w:rFonts w:ascii="Verdana" w:hAnsi="Verdana"/>
          <w:bCs/>
          <w:sz w:val="20"/>
          <w:lang w:val="en-US"/>
        </w:rPr>
        <w:t>Allumia</w:t>
      </w:r>
      <w:proofErr w:type="spellEnd"/>
      <w:r w:rsidRPr="00483E39">
        <w:rPr>
          <w:rFonts w:ascii="Verdana" w:hAnsi="Verdana"/>
          <w:bCs/>
          <w:sz w:val="20"/>
          <w:lang w:val="en-US"/>
        </w:rPr>
        <w:t xml:space="preserve"> (code 443TSL), Domus (code 441TSL) and Class (code 449TSL) series.</w:t>
      </w:r>
    </w:p>
    <w:p w14:paraId="4EFBC4B9" w14:textId="487989F9" w:rsidR="00CD346A" w:rsidRPr="00CD346A" w:rsidRDefault="00CD346A" w:rsidP="007A1E33">
      <w:pPr>
        <w:spacing w:after="240" w:line="28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For all the functions that require specific symbology, </w:t>
      </w:r>
      <w:r w:rsidRPr="00CD346A">
        <w:rPr>
          <w:rFonts w:ascii="Verdana" w:hAnsi="Verdana"/>
          <w:b/>
          <w:color w:val="000000" w:themeColor="text1"/>
          <w:sz w:val="20"/>
          <w:szCs w:val="20"/>
          <w:lang w:val="en-US"/>
        </w:rPr>
        <w:t>new keyless controls are also available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: switch 1P 250V 10AX (code 445001ST), diverter 1P 250V 10AX (code 445002ST) and pushbutton 1P 250V 10A (code 445005ST). They can be used in conjunction with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keys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with </w:t>
      </w:r>
      <w:proofErr w:type="spellStart"/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>symbologies</w:t>
      </w:r>
      <w:proofErr w:type="spellEnd"/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of the 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Tekla, Whitek and </w:t>
      </w:r>
      <w:proofErr w:type="spellStart"/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>Allumia</w:t>
      </w:r>
      <w:proofErr w:type="spellEnd"/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series and can be complemented </w:t>
      </w:r>
      <w:r w:rsidR="001E7CD2">
        <w:rPr>
          <w:rFonts w:ascii="Verdana" w:hAnsi="Verdana"/>
          <w:bCs/>
          <w:color w:val="000000" w:themeColor="text1"/>
          <w:sz w:val="20"/>
          <w:szCs w:val="20"/>
          <w:lang w:val="en-US"/>
        </w:rPr>
        <w:t>through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all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keys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with illuminated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gem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also for Domus and Class series. </w:t>
      </w:r>
    </w:p>
    <w:p w14:paraId="27EE1E4C" w14:textId="495CA86A" w:rsidR="00EA1D6F" w:rsidRPr="00846366" w:rsidRDefault="00CD346A" w:rsidP="00846366">
      <w:pPr>
        <w:spacing w:after="240" w:line="28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With the </w:t>
      </w:r>
      <w:r w:rsidRPr="00846366">
        <w:rPr>
          <w:rFonts w:ascii="Verdana" w:hAnsi="Verdana"/>
          <w:b/>
          <w:color w:val="000000" w:themeColor="text1"/>
          <w:sz w:val="20"/>
          <w:szCs w:val="20"/>
          <w:lang w:val="en-US"/>
        </w:rPr>
        <w:t>high-visibility S44 controls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, AVE confirms its commitment to combining functionality and aesthetics. With the introduction of the high-luminosity gems, the keys not only become more visible and recognizable in low-light conditions, but also add a touch of </w:t>
      </w:r>
      <w:r w:rsidR="001E7CD2">
        <w:rPr>
          <w:rFonts w:ascii="Verdana" w:hAnsi="Verdana"/>
          <w:bCs/>
          <w:color w:val="000000" w:themeColor="text1"/>
          <w:sz w:val="20"/>
          <w:szCs w:val="20"/>
          <w:lang w:val="en-US"/>
        </w:rPr>
        <w:t>style</w:t>
      </w:r>
      <w:r w:rsidRPr="00CD346A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to the light point. </w:t>
      </w:r>
    </w:p>
    <w:p w14:paraId="1733C99D" w14:textId="38CA50BF" w:rsidR="007D34B6" w:rsidRPr="001E7CD2" w:rsidRDefault="007D34B6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747DBC95" w14:textId="77777777" w:rsidR="00F92B5F" w:rsidRPr="001E7CD2" w:rsidRDefault="00F92B5F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58C91F05" w14:textId="2CFFE291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846366">
        <w:rPr>
          <w:rFonts w:ascii="Verdana" w:hAnsi="Verdana"/>
          <w:bCs/>
          <w:sz w:val="20"/>
          <w:szCs w:val="20"/>
        </w:rPr>
        <w:t>July</w:t>
      </w:r>
      <w:proofErr w:type="spellEnd"/>
      <w:r w:rsidR="00846366">
        <w:rPr>
          <w:rFonts w:ascii="Verdana" w:hAnsi="Verdana"/>
          <w:bCs/>
          <w:sz w:val="20"/>
          <w:szCs w:val="20"/>
        </w:rPr>
        <w:t xml:space="preserve"> </w:t>
      </w:r>
      <w:r w:rsidR="009407EE">
        <w:rPr>
          <w:rFonts w:ascii="Verdana" w:hAnsi="Verdana"/>
          <w:bCs/>
          <w:sz w:val="20"/>
          <w:szCs w:val="20"/>
        </w:rPr>
        <w:t>10</w:t>
      </w:r>
      <w:r w:rsidR="00846366">
        <w:rPr>
          <w:rFonts w:ascii="Verdana" w:hAnsi="Verdana"/>
          <w:bCs/>
          <w:sz w:val="20"/>
          <w:szCs w:val="20"/>
        </w:rPr>
        <w:t>,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3D1FEDA" w14:textId="77777777" w:rsidR="003F2E4D" w:rsidRPr="007D34B6" w:rsidRDefault="003F2E4D" w:rsidP="003F2E4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0D699AC" w14:textId="77777777" w:rsidR="003F2E4D" w:rsidRPr="007D34B6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sectPr w:rsidR="003F2E4D" w:rsidRPr="007D34B6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DCCF" w14:textId="77777777" w:rsidR="004A6C30" w:rsidRDefault="004A6C30" w:rsidP="00BD1C27">
      <w:r>
        <w:separator/>
      </w:r>
    </w:p>
  </w:endnote>
  <w:endnote w:type="continuationSeparator" w:id="0">
    <w:p w14:paraId="5CD27D1B" w14:textId="77777777" w:rsidR="004A6C30" w:rsidRDefault="004A6C3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D7D1D" w14:textId="77777777" w:rsidR="004A6C30" w:rsidRDefault="004A6C30" w:rsidP="00BD1C27">
      <w:r>
        <w:separator/>
      </w:r>
    </w:p>
  </w:footnote>
  <w:footnote w:type="continuationSeparator" w:id="0">
    <w:p w14:paraId="6DE31CE4" w14:textId="77777777" w:rsidR="004A6C30" w:rsidRDefault="004A6C3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D20CDB"/>
    <w:multiLevelType w:val="multilevel"/>
    <w:tmpl w:val="6CF67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70F88"/>
    <w:multiLevelType w:val="hybridMultilevel"/>
    <w:tmpl w:val="6FC43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224E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B21222"/>
    <w:multiLevelType w:val="hybridMultilevel"/>
    <w:tmpl w:val="9F12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1E9"/>
    <w:multiLevelType w:val="hybridMultilevel"/>
    <w:tmpl w:val="6CF6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1429D"/>
    <w:multiLevelType w:val="hybridMultilevel"/>
    <w:tmpl w:val="8DE4C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8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4"/>
  </w:num>
  <w:num w:numId="4">
    <w:abstractNumId w:val="24"/>
  </w:num>
  <w:num w:numId="5">
    <w:abstractNumId w:val="46"/>
  </w:num>
  <w:num w:numId="6">
    <w:abstractNumId w:val="40"/>
  </w:num>
  <w:num w:numId="7">
    <w:abstractNumId w:val="43"/>
  </w:num>
  <w:num w:numId="8">
    <w:abstractNumId w:val="33"/>
  </w:num>
  <w:num w:numId="9">
    <w:abstractNumId w:val="3"/>
  </w:num>
  <w:num w:numId="10">
    <w:abstractNumId w:val="23"/>
  </w:num>
  <w:num w:numId="11">
    <w:abstractNumId w:val="42"/>
  </w:num>
  <w:num w:numId="12">
    <w:abstractNumId w:val="18"/>
  </w:num>
  <w:num w:numId="13">
    <w:abstractNumId w:val="49"/>
  </w:num>
  <w:num w:numId="14">
    <w:abstractNumId w:val="19"/>
  </w:num>
  <w:num w:numId="15">
    <w:abstractNumId w:val="9"/>
  </w:num>
  <w:num w:numId="16">
    <w:abstractNumId w:val="48"/>
  </w:num>
  <w:num w:numId="17">
    <w:abstractNumId w:val="34"/>
  </w:num>
  <w:num w:numId="18">
    <w:abstractNumId w:val="10"/>
  </w:num>
  <w:num w:numId="19">
    <w:abstractNumId w:val="5"/>
  </w:num>
  <w:num w:numId="20">
    <w:abstractNumId w:val="20"/>
  </w:num>
  <w:num w:numId="21">
    <w:abstractNumId w:val="32"/>
  </w:num>
  <w:num w:numId="22">
    <w:abstractNumId w:val="39"/>
  </w:num>
  <w:num w:numId="23">
    <w:abstractNumId w:val="29"/>
  </w:num>
  <w:num w:numId="24">
    <w:abstractNumId w:val="16"/>
  </w:num>
  <w:num w:numId="25">
    <w:abstractNumId w:val="28"/>
  </w:num>
  <w:num w:numId="26">
    <w:abstractNumId w:val="11"/>
  </w:num>
  <w:num w:numId="27">
    <w:abstractNumId w:val="1"/>
  </w:num>
  <w:num w:numId="28">
    <w:abstractNumId w:val="8"/>
  </w:num>
  <w:num w:numId="29">
    <w:abstractNumId w:val="37"/>
  </w:num>
  <w:num w:numId="30">
    <w:abstractNumId w:val="22"/>
  </w:num>
  <w:num w:numId="31">
    <w:abstractNumId w:val="21"/>
  </w:num>
  <w:num w:numId="32">
    <w:abstractNumId w:val="35"/>
  </w:num>
  <w:num w:numId="33">
    <w:abstractNumId w:val="13"/>
  </w:num>
  <w:num w:numId="34">
    <w:abstractNumId w:val="15"/>
  </w:num>
  <w:num w:numId="35">
    <w:abstractNumId w:val="0"/>
  </w:num>
  <w:num w:numId="36">
    <w:abstractNumId w:val="4"/>
  </w:num>
  <w:num w:numId="37">
    <w:abstractNumId w:val="12"/>
  </w:num>
  <w:num w:numId="38">
    <w:abstractNumId w:val="36"/>
  </w:num>
  <w:num w:numId="39">
    <w:abstractNumId w:val="17"/>
  </w:num>
  <w:num w:numId="40">
    <w:abstractNumId w:val="45"/>
  </w:num>
  <w:num w:numId="41">
    <w:abstractNumId w:val="7"/>
  </w:num>
  <w:num w:numId="42">
    <w:abstractNumId w:val="26"/>
  </w:num>
  <w:num w:numId="43">
    <w:abstractNumId w:val="47"/>
  </w:num>
  <w:num w:numId="44">
    <w:abstractNumId w:val="6"/>
  </w:num>
  <w:num w:numId="45">
    <w:abstractNumId w:val="31"/>
  </w:num>
  <w:num w:numId="46">
    <w:abstractNumId w:val="27"/>
  </w:num>
  <w:num w:numId="47">
    <w:abstractNumId w:val="41"/>
  </w:num>
  <w:num w:numId="48">
    <w:abstractNumId w:val="30"/>
  </w:num>
  <w:num w:numId="49">
    <w:abstractNumId w:val="2"/>
  </w:num>
  <w:num w:numId="5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18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B745B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7B7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E7CD2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5CEC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00A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68F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07FDE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7D9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3E39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C30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2D5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E1C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9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36A9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1E33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6D2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36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3F0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24F7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7EE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3FEC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255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96F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777EC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B1A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46A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1C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649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0976"/>
    <w:rsid w:val="00F4130C"/>
    <w:rsid w:val="00F4180B"/>
    <w:rsid w:val="00F418AC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33D6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0F46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2024-07-10T07:35:00Z</dcterms:created>
  <dcterms:modified xsi:type="dcterms:W3CDTF">2024-07-10T07:35:00Z</dcterms:modified>
  <cp:category/>
</cp:coreProperties>
</file>