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Allumia 44 Wiring Accessories: Tech Grey becomes eternal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distinctive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 colour that characterizes the series, enhanced by the special anti-scratch paint, finds its perfect complement in the new ultra-thin front plates, transforming the light point into a piece of furniture.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With Allumia 44, AVE explores a design dimension where technological inspiration merges with the most sought-after interior design trends.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complete and versatile proposal, capable of coherently adapting to every type of system. Through its iconic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Tech Grey shade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this series represents a high-profile technical solution for traditional, IoT, or home automation installations, suitable for any type of residential, commercial, and hotel context.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main strength of the Allumia 44 wiring accessories is the special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anti-scratch paint with anti-flaking protection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This treatment is designed to make Tech Grey extremely resistant: the components do not lose their paint and are not afraid of wear, maintaining their original appearance even after years of use.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Today, the series is further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enhanced through combination with the new reduced-thickness AVE front plates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Among these, the innovative ultra-thin collections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Smart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metal and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Easy Smart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Young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lines in technopolymer stand out; all display the Tech Grey colour to ensure perfect aesthetic coordination with the Allumia 44 wiring accessories.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new generation axial controls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intervene to elevate the aesthetics of the light point, which, in addition to standing out for extraordinary constructive quality that guarantees a duration superior to industry standards, ensure a consistently perfect alignment with the cover plate. On the functionality front, the range introduces the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Multisocket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an AVE-patented monoblock capable of integrating up to 4 combinations of powered sockets with single wiring (one bipasso, one schuko, and two USB, type A and C) into a traditional 3-module flush-mounting box.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Finally, Allumia 44 integrates with all the latest evolutions of AVE systems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for residential and professional environments: from thermostats, to touch screens for the supervision of AVE technological systems (home automation, video intercom, and anti-intrusion), up to card readers for hotel management.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With Allumia 44, AVE defines a perfect combination of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cutting-edge technology and aesthetics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providing professionals with a wiring accessories series capable of transforming innovation into concrete design value.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April 30,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left" w:leader="none" w:pos="960"/>
      </w:tabs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G2RUW1wpgwnnTV3ldJLR1QK5A==">CgMxLjA4AHIhMVVLR2xOeTVSU19laFlBM2hyUHdMWkZlRzZCTkd5U2xr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