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76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I cronotermostati AVEbus e connessi si aggiornano: </w:t>
        <w:br w:type="textWrapping"/>
        <w:t xml:space="preserve">arrivano il “Controllo Umidità” e la "Funzione Hotel"</w:t>
      </w:r>
    </w:p>
    <w:p w:rsidR="00000000" w:rsidDel="00000000" w:rsidP="00000000" w:rsidRDefault="00000000" w:rsidRPr="00000000" w14:paraId="00000002">
      <w:pPr>
        <w:spacing w:after="240" w:before="120" w:line="276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AVE introduce importanti aggiornamenti dedicati al suo iconico cronotermostato con ghiera rotativa e display a colori, disponibile in versione connessa IoT e filare AVEbus.</w:t>
      </w:r>
    </w:p>
    <w:p w:rsidR="00000000" w:rsidDel="00000000" w:rsidP="00000000" w:rsidRDefault="00000000" w:rsidRPr="00000000" w14:paraId="00000003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Progettato per coniugare estetica e funzionalità, il dispositivo introduce ora caratteristiche avanzate per la gestione dell’umidità e l'ottimizzazione dei contesti ricettivi, confermandosi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un valore aggiunto per la gestione della termoregolazione all’interno della Smart Home e dell'Intelligent Building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Il comfort passa dal controllo dell’umidità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Il benessere indoor dipende non solo dalla temperatura, ma anche dalla qualità dell’aria.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Mantenere corrette condizioni igrometriche è fondamentale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 la salute, la conservazione degli ambienti e l’efficienza energetica.</w:t>
      </w:r>
    </w:p>
    <w:p w:rsidR="00000000" w:rsidDel="00000000" w:rsidP="00000000" w:rsidRDefault="00000000" w:rsidRPr="00000000" w14:paraId="00000005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 introduce 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dell’umidità nella stagione estiva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disponibile sia sulla versione connessa IoT (44xCRTxxx-W) che su quella domotica AVEbus (44xABCRTxxx). Grazie a questa nuova funzionalità è possibile: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120" w:line="276" w:lineRule="auto"/>
        <w:ind w:left="425.19685039370086" w:hanging="36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monitorare in tempo reale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valore di umidità relativa in ambiente;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120" w:line="276" w:lineRule="auto"/>
        <w:ind w:left="425.19685039370086" w:hanging="36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regolare e visualizzare i parametri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direttamente da smartphone o tablet;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120" w:line="276" w:lineRule="auto"/>
        <w:ind w:left="425.19685039370086" w:hanging="36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impostare tre soglie di intervento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 attivare sistemi di deumidificazione e fermare la richiesta termica.</w:t>
      </w:r>
    </w:p>
    <w:p w:rsidR="00000000" w:rsidDel="00000000" w:rsidP="00000000" w:rsidRDefault="00000000" w:rsidRPr="00000000" w14:paraId="00000009">
      <w:pPr>
        <w:spacing w:after="240" w:before="12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L’interfaccia grafica garantisce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un’esperienza d’uso semplice e intuitiva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permettendo una regolazione precisa della temperatura e una gestione ottimale dell’umidità.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240" w:before="120" w:line="276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r27dja7yq6jo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rtl w:val="0"/>
        </w:rPr>
        <w:t xml:space="preserve">Nuova "Funzione Hotel": controllo totale e flessibilità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Per rispondere alle crescenti richieste del settore ricettivo (B&amp;B, Hotel e case vacanze), AVE ha implementato sui suoi cronotermostati anche la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Funzione Hotel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Questa modalità permette al gestore di limitare la variazione del set-point locale effettuabile dall'ospite, garantendo un risparmio energetico ottimale senza rinunciare al comfort: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120" w:line="276" w:lineRule="auto"/>
        <w:ind w:left="566.9291338582675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Limitazione locale: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è possibile restringere il range di regolazione locale da un minimo di ±1°C a un massimo di ±5°C rispetto al set-point impostato.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120" w:line="276" w:lineRule="auto"/>
        <w:ind w:left="566.9291338582675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Feedback visivo: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sia l'applicazione che il display del cronotermostato evidenziano graficamente la limitazione attiva.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120" w:line="276" w:lineRule="auto"/>
        <w:ind w:left="566.9291338582675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semplificata: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localmente l'ospite può solo accendere/spegnere il dispositivo, regolare la temperatura entro il range permesso e cambiare la visualizzazione; il gestore mantiene invece il controllo totale e libero via app.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Tecnologia e design coordinato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cronotermostato AVE continua a distinguersi per la sua versatilità installativa: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versione connessa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grazie alla tecnologia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Wi-Fi Mesh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comunica direttamente con i dispositivi della gamma IoT AVE, senza bisogno di gateway esterni. Una soluzione ideale per impianti smart, semplici da configurare e gestire;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12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versione filare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pensata per l’ecosistema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assicura un controllo domotico avanzato, perfetto per contesti professionali, edifici e abitazioni di grandi dimensioni.</w:t>
      </w:r>
    </w:p>
    <w:p w:rsidR="00000000" w:rsidDel="00000000" w:rsidP="00000000" w:rsidRDefault="00000000" w:rsidRPr="00000000" w14:paraId="00000011">
      <w:pPr>
        <w:spacing w:after="240" w:before="120" w:line="276" w:lineRule="auto"/>
        <w:jc w:val="both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Entrambe le versioni offrono diverse finiture —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alluminio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(naturale o antracite) 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tecnopolimero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(bianco opaco Whitek, lucido Domus e grigio opaco Tekla). Grazie ai nuovi aggiornamenti, i cronotermostati AVE si confermano una soluzione d’eccellenza, capace di unire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design e tecnologia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 rispondere con efficacia alle moderne esigenze dell'abitare.</w:t>
        <w:br w:type="textWrapping"/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120" w:line="276" w:lineRule="auto"/>
        <w:jc w:val="both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120" w:line="276" w:lineRule="auto"/>
        <w:jc w:val="both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Rezzato, 14 maggio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tabs>
        <w:tab w:val="left" w:leader="none" w:pos="96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GnHb6RuSKDpWUUAtwa04reZeg==">CgMxLjAyDmgucjI3ZGphN3lxNmpvOAByITFibTRmN1Q2NnRDOF96VzE0YnlFdTZ4cGJQOUZGRk8zQw==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