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New AVE Intercom Range</w:t>
      </w:r>
    </w:p>
    <w:p w:rsidR="00000000" w:rsidDel="00000000" w:rsidP="00000000" w:rsidRDefault="00000000" w:rsidRPr="00000000" w14:paraId="00000002">
      <w:pPr>
        <w:spacing w:after="280" w:lineRule="auto"/>
        <w:jc w:val="cente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A professional solution with stylish audio stations.</w:t>
      </w:r>
    </w:p>
    <w:p w:rsidR="00000000" w:rsidDel="00000000" w:rsidP="00000000" w:rsidRDefault="00000000" w:rsidRPr="00000000" w14:paraId="00000003">
      <w:pPr>
        <w:spacing w:after="280" w:line="240" w:lineRule="auto"/>
        <w:jc w:val="both"/>
        <w:rPr>
          <w:rFonts w:ascii="Verdana" w:cs="Verdana" w:eastAsia="Verdana" w:hAnsi="Verdana"/>
          <w:i w:val="1"/>
          <w:iCs w:val="1"/>
          <w:sz w:val="22"/>
          <w:szCs w:val="22"/>
        </w:rPr>
      </w:pPr>
      <w:r w:rsidDel="00000000" w:rsidR="00000000" w:rsidRPr="00000000">
        <w:rPr>
          <w:rFonts w:ascii="Verdana" w:cs="Verdana" w:eastAsia="Verdana" w:hAnsi="Verdana"/>
          <w:i w:val="1"/>
          <w:iCs w:val="1"/>
          <w:sz w:val="22"/>
          <w:szCs w:val="22"/>
          <w:rtl w:val="0"/>
        </w:rPr>
        <w:t xml:space="preserve">AVE is expanding its technological offering dedicated to communication by introducing a new intercom range. Designed to combine the reliability of the 2-wire system with advanced access control features, the line meets the needs of the residential and commercial sectors with reliable, aesthetically refined solutions that are simple to install and also available in practical kits.</w:t>
      </w:r>
    </w:p>
    <w:p w:rsidR="00000000" w:rsidDel="00000000" w:rsidP="00000000" w:rsidRDefault="00000000" w:rsidRPr="00000000" w14:paraId="00000004">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 introduces new products that complete the architecture of its V44 EASY 2-wire system, adding a </w:t>
      </w:r>
      <w:r w:rsidDel="00000000" w:rsidR="00000000" w:rsidRPr="00000000">
        <w:rPr>
          <w:rFonts w:ascii="Verdana" w:cs="Verdana" w:eastAsia="Verdana" w:hAnsi="Verdana"/>
          <w:b w:val="1"/>
          <w:bCs w:val="1"/>
          <w:sz w:val="20"/>
          <w:szCs w:val="20"/>
          <w:rtl w:val="0"/>
        </w:rPr>
        <w:t xml:space="preserve">high-performance audio range </w:t>
      </w:r>
      <w:r w:rsidDel="00000000" w:rsidR="00000000" w:rsidRPr="00000000">
        <w:rPr>
          <w:rFonts w:ascii="Verdana" w:cs="Verdana" w:eastAsia="Verdana" w:hAnsi="Verdana"/>
          <w:sz w:val="20"/>
          <w:szCs w:val="20"/>
          <w:rtl w:val="0"/>
        </w:rPr>
        <w:t xml:space="preserve">alongside the well-established video intercom solutions. The intercom series has been designed to meet market needs, ensuring quick installation for the professional and an intuitive user experience for the end user.</w:t>
      </w:r>
    </w:p>
    <w:p w:rsidR="00000000" w:rsidDel="00000000" w:rsidP="00000000" w:rsidRDefault="00000000" w:rsidRPr="00000000" w14:paraId="00000005">
      <w:pPr>
        <w:widowControl w:val="0"/>
        <w:spacing w:after="80" w:line="276"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2"/>
          <w:szCs w:val="22"/>
          <w:rtl w:val="0"/>
        </w:rPr>
        <w:t xml:space="preserve">Wall-mounted audio outdoor stations</w:t>
        <w:br w:type="textWrapping"/>
      </w:r>
      <w:r w:rsidDel="00000000" w:rsidR="00000000" w:rsidRPr="00000000">
        <w:rPr>
          <w:rFonts w:ascii="Verdana" w:cs="Verdana" w:eastAsia="Verdana" w:hAnsi="Verdana"/>
          <w:sz w:val="20"/>
          <w:szCs w:val="20"/>
          <w:rtl w:val="0"/>
        </w:rPr>
        <w:t xml:space="preserve">Available in </w:t>
      </w:r>
      <w:r w:rsidDel="00000000" w:rsidR="00000000" w:rsidRPr="00000000">
        <w:rPr>
          <w:rFonts w:ascii="Verdana" w:cs="Verdana" w:eastAsia="Verdana" w:hAnsi="Verdana"/>
          <w:b w:val="1"/>
          <w:bCs w:val="1"/>
          <w:sz w:val="20"/>
          <w:szCs w:val="20"/>
          <w:rtl w:val="0"/>
        </w:rPr>
        <w:t xml:space="preserve">1-call</w:t>
      </w:r>
      <w:r w:rsidDel="00000000" w:rsidR="00000000" w:rsidRPr="00000000">
        <w:rPr>
          <w:rFonts w:ascii="Verdana" w:cs="Verdana" w:eastAsia="Verdana" w:hAnsi="Verdana"/>
          <w:sz w:val="20"/>
          <w:szCs w:val="20"/>
          <w:rtl w:val="0"/>
        </w:rPr>
        <w:t xml:space="preserve"> (art. VI2F-PEC1AP) and </w:t>
      </w:r>
      <w:r w:rsidDel="00000000" w:rsidR="00000000" w:rsidRPr="00000000">
        <w:rPr>
          <w:rFonts w:ascii="Verdana" w:cs="Verdana" w:eastAsia="Verdana" w:hAnsi="Verdana"/>
          <w:b w:val="1"/>
          <w:bCs w:val="1"/>
          <w:sz w:val="20"/>
          <w:szCs w:val="20"/>
          <w:rtl w:val="0"/>
        </w:rPr>
        <w:t xml:space="preserve">2-call </w:t>
      </w:r>
      <w:r w:rsidDel="00000000" w:rsidR="00000000" w:rsidRPr="00000000">
        <w:rPr>
          <w:rFonts w:ascii="Verdana" w:cs="Verdana" w:eastAsia="Verdana" w:hAnsi="Verdana"/>
          <w:sz w:val="20"/>
          <w:szCs w:val="20"/>
          <w:rtl w:val="0"/>
        </w:rPr>
        <w:t xml:space="preserve">(art. VI2F-PEC2AP) versions, the new AVE outdoor intercom stations are specifically developed for wall-mounted installation. Simple, robust and compact, they stand out for:</w:t>
      </w:r>
    </w:p>
    <w:p w:rsidR="00000000" w:rsidDel="00000000" w:rsidP="00000000" w:rsidRDefault="00000000" w:rsidRPr="00000000" w14:paraId="00000006">
      <w:pPr>
        <w:widowControl w:val="0"/>
        <w:numPr>
          <w:ilvl w:val="0"/>
          <w:numId w:val="1"/>
        </w:numPr>
        <w:spacing w:after="0" w:afterAutospacing="0" w:line="276" w:lineRule="auto"/>
        <w:ind w:left="425.19685039370086"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Installation flexibility</w:t>
      </w:r>
      <w:r w:rsidDel="00000000" w:rsidR="00000000" w:rsidRPr="00000000">
        <w:rPr>
          <w:rFonts w:ascii="Verdana" w:cs="Verdana" w:eastAsia="Verdana" w:hAnsi="Verdana"/>
          <w:sz w:val="20"/>
          <w:szCs w:val="20"/>
          <w:rtl w:val="0"/>
        </w:rPr>
        <w:t xml:space="preserve">: the small size allows them to be adapted to any construction site requirement.</w:t>
      </w:r>
    </w:p>
    <w:p w:rsidR="00000000" w:rsidDel="00000000" w:rsidP="00000000" w:rsidRDefault="00000000" w:rsidRPr="00000000" w14:paraId="00000007">
      <w:pPr>
        <w:widowControl w:val="0"/>
        <w:numPr>
          <w:ilvl w:val="0"/>
          <w:numId w:val="1"/>
        </w:numPr>
        <w:spacing w:after="160" w:line="276" w:lineRule="auto"/>
        <w:ind w:left="425.19685039370086" w:hanging="360"/>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Access control</w:t>
      </w:r>
      <w:r w:rsidDel="00000000" w:rsidR="00000000" w:rsidRPr="00000000">
        <w:rPr>
          <w:rFonts w:ascii="Verdana" w:cs="Verdana" w:eastAsia="Verdana" w:hAnsi="Verdana"/>
          <w:sz w:val="20"/>
          <w:szCs w:val="20"/>
          <w:rtl w:val="0"/>
        </w:rPr>
        <w:t xml:space="preserve">: the integration of the card reader with </w:t>
      </w:r>
      <w:r w:rsidDel="00000000" w:rsidR="00000000" w:rsidRPr="00000000">
        <w:rPr>
          <w:rFonts w:ascii="Verdana" w:cs="Verdana" w:eastAsia="Verdana" w:hAnsi="Verdana"/>
          <w:b w:val="1"/>
          <w:bCs w:val="1"/>
          <w:sz w:val="20"/>
          <w:szCs w:val="20"/>
          <w:rtl w:val="0"/>
        </w:rPr>
        <w:t xml:space="preserve">MIFARE</w:t>
      </w:r>
      <w:r w:rsidDel="00000000" w:rsidR="00000000" w:rsidRPr="00000000">
        <w:rPr>
          <w:rFonts w:ascii="Verdana" w:cs="Verdana" w:eastAsia="Verdana" w:hAnsi="Verdana"/>
          <w:b w:val="1"/>
          <w:bCs w:val="1"/>
          <w:sz w:val="20"/>
          <w:szCs w:val="20"/>
          <w:vertAlign w:val="superscript"/>
          <w:rtl w:val="0"/>
        </w:rPr>
        <w:t xml:space="preserve">®</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technology</w:t>
      </w:r>
      <w:r w:rsidDel="00000000" w:rsidR="00000000" w:rsidRPr="00000000">
        <w:rPr>
          <w:rFonts w:ascii="Verdana" w:cs="Verdana" w:eastAsia="Verdana" w:hAnsi="Verdana"/>
          <w:sz w:val="20"/>
          <w:szCs w:val="20"/>
          <w:rtl w:val="0"/>
        </w:rPr>
        <w:t xml:space="preserve"> makes opening the gate even more convenient and secure, offering a quick and practical access system for users and residents.</w:t>
      </w:r>
      <w:r w:rsidDel="00000000" w:rsidR="00000000" w:rsidRPr="00000000">
        <w:rPr>
          <w:rtl w:val="0"/>
        </w:rPr>
      </w:r>
    </w:p>
    <w:p w:rsidR="00000000" w:rsidDel="00000000" w:rsidP="00000000" w:rsidRDefault="00000000" w:rsidRPr="00000000" w14:paraId="00000008">
      <w:pPr>
        <w:widowControl w:val="0"/>
        <w:spacing w:after="80" w:line="276"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2"/>
          <w:szCs w:val="22"/>
          <w:rtl w:val="0"/>
        </w:rPr>
        <w:t xml:space="preserve">Intercom handset: reliability and functionality</w:t>
      </w:r>
      <w:r w:rsidDel="00000000" w:rsidR="00000000" w:rsidRPr="00000000">
        <w:rPr>
          <w:rFonts w:ascii="Verdana" w:cs="Verdana" w:eastAsia="Verdana" w:hAnsi="Verdana"/>
          <w:sz w:val="20"/>
          <w:szCs w:val="20"/>
          <w:rtl w:val="0"/>
        </w:rPr>
        <w:br w:type="textWrapping"/>
        <w:t xml:space="preserve">To complete the range, we find the new intercom handset (art. VI2F-PICOR). This solution combines </w:t>
      </w:r>
      <w:r w:rsidDel="00000000" w:rsidR="00000000" w:rsidRPr="00000000">
        <w:rPr>
          <w:rFonts w:ascii="Verdana" w:cs="Verdana" w:eastAsia="Verdana" w:hAnsi="Verdana"/>
          <w:b w:val="1"/>
          <w:bCs w:val="1"/>
          <w:sz w:val="20"/>
          <w:szCs w:val="20"/>
          <w:rtl w:val="0"/>
        </w:rPr>
        <w:t xml:space="preserve">cutting-edge design with high-level functionality</w:t>
      </w:r>
      <w:r w:rsidDel="00000000" w:rsidR="00000000" w:rsidRPr="00000000">
        <w:rPr>
          <w:rFonts w:ascii="Verdana" w:cs="Verdana" w:eastAsia="Verdana" w:hAnsi="Verdana"/>
          <w:sz w:val="20"/>
          <w:szCs w:val="20"/>
          <w:rtl w:val="0"/>
        </w:rPr>
        <w:t xml:space="preserve">, guaranteeing clear and reliable communications. It represents the ideal choice for those who prefer a traditional type of interaction without sacrificing aesthetics and construction quality.</w:t>
      </w:r>
    </w:p>
    <w:p w:rsidR="00000000" w:rsidDel="00000000" w:rsidP="00000000" w:rsidRDefault="00000000" w:rsidRPr="00000000" w14:paraId="00000009">
      <w:pPr>
        <w:pStyle w:val="Heading3"/>
        <w:keepNext w:val="0"/>
        <w:keepLines w:val="0"/>
        <w:widowControl w:val="0"/>
        <w:spacing w:after="80" w:before="280" w:line="276" w:lineRule="auto"/>
        <w:jc w:val="both"/>
        <w:rPr>
          <w:rFonts w:ascii="Verdana" w:cs="Verdana" w:eastAsia="Verdana" w:hAnsi="Verdana"/>
          <w:color w:val="000000"/>
          <w:sz w:val="20"/>
          <w:szCs w:val="20"/>
        </w:rPr>
      </w:pPr>
      <w:bookmarkStart w:colFirst="0" w:colLast="0" w:name="_heading=h.lktwj5j7vlre" w:id="0"/>
      <w:bookmarkEnd w:id="0"/>
      <w:r w:rsidDel="00000000" w:rsidR="00000000" w:rsidRPr="00000000">
        <w:rPr>
          <w:rFonts w:ascii="Verdana" w:cs="Verdana" w:eastAsia="Verdana" w:hAnsi="Verdana"/>
          <w:b w:val="1"/>
          <w:bCs w:val="1"/>
          <w:color w:val="000000"/>
          <w:sz w:val="22"/>
          <w:szCs w:val="22"/>
          <w:rtl w:val="0"/>
        </w:rPr>
        <w:t xml:space="preserve">A solution for the professional</w:t>
      </w:r>
      <w:r w:rsidDel="00000000" w:rsidR="00000000" w:rsidRPr="00000000">
        <w:rPr>
          <w:rFonts w:ascii="Verdana" w:cs="Verdana" w:eastAsia="Verdana" w:hAnsi="Verdana"/>
          <w:b w:val="1"/>
          <w:bCs w:val="1"/>
          <w:color w:val="000000"/>
          <w:sz w:val="26"/>
          <w:szCs w:val="26"/>
          <w:rtl w:val="0"/>
        </w:rPr>
        <w:br w:type="textWrapping"/>
      </w:r>
      <w:r w:rsidDel="00000000" w:rsidR="00000000" w:rsidRPr="00000000">
        <w:rPr>
          <w:rFonts w:ascii="Verdana" w:cs="Verdana" w:eastAsia="Verdana" w:hAnsi="Verdana"/>
          <w:color w:val="000000"/>
          <w:sz w:val="20"/>
          <w:szCs w:val="20"/>
          <w:rtl w:val="0"/>
        </w:rPr>
        <w:t xml:space="preserve">To suit operating habits and different needs, </w:t>
      </w:r>
      <w:r w:rsidDel="00000000" w:rsidR="00000000" w:rsidRPr="00000000">
        <w:rPr>
          <w:rFonts w:ascii="Verdana" w:cs="Verdana" w:eastAsia="Verdana" w:hAnsi="Verdana"/>
          <w:b w:val="1"/>
          <w:bCs w:val="1"/>
          <w:color w:val="000000"/>
          <w:sz w:val="20"/>
          <w:szCs w:val="20"/>
          <w:rtl w:val="0"/>
        </w:rPr>
        <w:t xml:space="preserve">the new AVE products are available both as individual items and in practical kits</w:t>
      </w: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0A">
      <w:pPr>
        <w:pStyle w:val="Heading3"/>
        <w:keepNext w:val="0"/>
        <w:keepLines w:val="0"/>
        <w:widowControl w:val="0"/>
        <w:spacing w:after="80" w:before="280" w:line="276" w:lineRule="auto"/>
        <w:jc w:val="both"/>
        <w:rPr>
          <w:rFonts w:ascii="Verdana" w:cs="Verdana" w:eastAsia="Verdana" w:hAnsi="Verdana"/>
          <w:color w:val="000000"/>
          <w:sz w:val="20"/>
          <w:szCs w:val="20"/>
        </w:rPr>
      </w:pPr>
      <w:bookmarkStart w:colFirst="0" w:colLast="0" w:name="_heading=h.igf5pzmojyfh" w:id="1"/>
      <w:bookmarkEnd w:id="1"/>
      <w:r w:rsidDel="00000000" w:rsidR="00000000" w:rsidRPr="00000000">
        <w:rPr>
          <w:rFonts w:ascii="Verdana" w:cs="Verdana" w:eastAsia="Verdana" w:hAnsi="Verdana"/>
          <w:color w:val="000000"/>
          <w:sz w:val="20"/>
          <w:szCs w:val="20"/>
          <w:rtl w:val="0"/>
        </w:rPr>
        <w:t xml:space="preserve">Through this implementation, AVE reaffirms its commitment to the research and development of solutions that simplify the installer's work, raising the quality standards of living. 2-wire technology remains the pillar of an open, scalable and easy-to-install system, perfectly aligned with current market needs.</w:t>
      </w:r>
    </w:p>
    <w:p w:rsidR="00000000" w:rsidDel="00000000" w:rsidP="00000000" w:rsidRDefault="00000000" w:rsidRPr="00000000" w14:paraId="0000000B">
      <w:pPr>
        <w:widowControl w:val="0"/>
        <w:spacing w:after="240" w:before="24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widowControl w:val="0"/>
        <w:spacing w:after="80" w:line="276" w:lineRule="auto"/>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D">
      <w:pPr>
        <w:spacing w:after="2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Rezzato, June 11, 2026</w:t>
      </w:r>
    </w:p>
    <w:sectPr>
      <w:headerReference r:id="rId7" w:type="default"/>
      <w:footerReference r:id="rId8" w:type="default"/>
      <w:pgSz w:h="1682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hyperlink r:id="rId1">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www.ave.it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left" w:leader="none" w:pos="960"/>
      </w:tabs>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drawing>
        <wp:inline distB="0" distT="0" distL="0" distR="0">
          <wp:extent cx="1828800" cy="762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762000"/>
                  </a:xfrm>
                  <a:prstGeom prst="rect"/>
                  <a:ln/>
                </pic:spPr>
              </pic:pic>
            </a:graphicData>
          </a:graphic>
        </wp:inline>
      </w:drawing>
    </w:r>
    <w:r w:rsidDel="00000000" w:rsidR="00000000" w:rsidRPr="00000000">
      <w:rPr>
        <w:rtl w:val="0"/>
      </w:rPr>
      <w:tab/>
      <w:tab/>
      <w:tab/>
      <w:tab/>
      <w:tab/>
      <w:tab/>
      <w:tab/>
      <w:tab/>
      <w:tab/>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2976245</wp:posOffset>
          </wp:positionH>
          <wp:positionV relativeFrom="paragraph">
            <wp:posOffset>295275</wp:posOffset>
          </wp:positionV>
          <wp:extent cx="2900045" cy="308610"/>
          <wp:effectExtent b="0" l="0" r="0" t="0"/>
          <wp:wrapSquare wrapText="bothSides" distB="0" distT="0" distL="114935" distR="114935"/>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900045" cy="3086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366091"/>
    </w:rPr>
  </w:style>
  <w:style w:type="paragraph" w:styleId="Heading5">
    <w:name w:val="heading 5"/>
    <w:basedOn w:val="Normal"/>
    <w:next w:val="Normal"/>
    <w:pPr/>
    <w:rPr>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4qrWiA7WJFGO25TwLHjmo3Ujg==">CgMxLjAyDmgubGt0d2o1ajd2bHJlMg5oLmlnZjVwem1vanlmaDgAciExeHdRS2kwOEdJSVpMc0JRMVVodUY3RktjSXh0REJwNVg=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