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AVE Toggle Switches: stylish collections for traditional and home automation systems</w:t>
      </w:r>
    </w:p>
    <w:p w:rsidR="00000000" w:rsidDel="00000000" w:rsidP="00000000" w:rsidRDefault="00000000" w:rsidRPr="00000000" w14:paraId="00000002">
      <w:pPr>
        <w:spacing w:after="280" w:before="280" w:lineRule="auto"/>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From retro to contemporary. Numerous style options are available for both traditional electrical systems and next-generation installations, in either the AVEbus home automation version or the international KNX standard.</w:t>
      </w:r>
    </w:p>
    <w:p w:rsidR="00000000" w:rsidDel="00000000" w:rsidP="00000000" w:rsidRDefault="00000000" w:rsidRPr="00000000" w14:paraId="00000003">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AVE toggle collections transform controls into a true signature style</w:t>
      </w:r>
      <w:r w:rsidDel="00000000" w:rsidR="00000000" w:rsidRPr="00000000">
        <w:rPr>
          <w:rFonts w:ascii="Verdana" w:cs="Verdana" w:eastAsia="Verdana" w:hAnsi="Verdana"/>
          <w:sz w:val="20"/>
          <w:szCs w:val="20"/>
          <w:rtl w:val="0"/>
        </w:rPr>
        <w:t xml:space="preserve">, capable of enhancing any interior design project. Conceived to meet the most sophisticated needs of architects, interior designers, and installers, these collections combine the evergreen charm of the past with the latest technologies. Available for traditional electrical systems as well as cutting-edge installations—both in the AVEbus home automation version and with the international KNX standard—the controls feature an iconic, </w:t>
      </w:r>
      <w:r w:rsidDel="00000000" w:rsidR="00000000" w:rsidRPr="00000000">
        <w:rPr>
          <w:rFonts w:ascii="Verdana" w:cs="Verdana" w:eastAsia="Verdana" w:hAnsi="Verdana"/>
          <w:b w:val="1"/>
          <w:bCs w:val="1"/>
          <w:sz w:val="20"/>
          <w:szCs w:val="20"/>
          <w:rtl w:val="0"/>
        </w:rPr>
        <w:t xml:space="preserve">patented illuminable guide indicator </w:t>
      </w:r>
      <w:r w:rsidDel="00000000" w:rsidR="00000000" w:rsidRPr="00000000">
        <w:rPr>
          <w:rFonts w:ascii="Verdana" w:cs="Verdana" w:eastAsia="Verdana" w:hAnsi="Verdana"/>
          <w:sz w:val="20"/>
          <w:szCs w:val="20"/>
          <w:rtl w:val="0"/>
        </w:rPr>
        <w:t xml:space="preserve">that ensures practical status feedback while bringing a touch of exclusivity to any space.</w:t>
      </w:r>
    </w:p>
    <w:p w:rsidR="00000000" w:rsidDel="00000000" w:rsidP="00000000" w:rsidRDefault="00000000" w:rsidRPr="00000000" w14:paraId="00000004">
      <w:pPr>
        <w:spacing w:after="280" w:before="280" w:lineRule="auto"/>
        <w:jc w:val="both"/>
        <w:rPr>
          <w:rFonts w:ascii="Verdana" w:cs="Verdana" w:eastAsia="Verdana" w:hAnsi="Verdana"/>
          <w:sz w:val="20"/>
          <w:szCs w:val="20"/>
        </w:rPr>
      </w:pPr>
      <w:r w:rsidDel="00000000" w:rsidR="00000000" w:rsidRPr="00000000">
        <w:rPr>
          <w:rFonts w:ascii="Verdana" w:cs="Verdana" w:eastAsia="Verdana" w:hAnsi="Verdana"/>
          <w:b w:val="1"/>
          <w:bCs w:val="1"/>
          <w:rtl w:val="0"/>
        </w:rPr>
        <w:t xml:space="preserve">Cylindrical controls, ultra-thin front plates, and new finishes</w:t>
      </w:r>
      <w:r w:rsidDel="00000000" w:rsidR="00000000" w:rsidRPr="00000000">
        <w:rPr>
          <w:rFonts w:ascii="Verdana" w:cs="Verdana" w:eastAsia="Verdana" w:hAnsi="Verdana"/>
          <w:sz w:val="20"/>
          <w:szCs w:val="20"/>
          <w:rtl w:val="0"/>
        </w:rPr>
        <w:br w:type="textWrapping"/>
        <w:t xml:space="preserve">The toggle switch trend, anticipated by AVE in 2017 as a novelty for the Italian market, has grown stronger over the years through solutions that perfectly combine aesthetics and practicality. Among the latest innovations are </w:t>
      </w:r>
      <w:r w:rsidDel="00000000" w:rsidR="00000000" w:rsidRPr="00000000">
        <w:rPr>
          <w:rFonts w:ascii="Verdana" w:cs="Verdana" w:eastAsia="Verdana" w:hAnsi="Verdana"/>
          <w:b w:val="1"/>
          <w:bCs w:val="1"/>
          <w:sz w:val="20"/>
          <w:szCs w:val="20"/>
          <w:rtl w:val="0"/>
        </w:rPr>
        <w:t xml:space="preserve">minimalist cylindrical metal toggles</w:t>
      </w:r>
      <w:r w:rsidDel="00000000" w:rsidR="00000000" w:rsidRPr="00000000">
        <w:rPr>
          <w:rFonts w:ascii="Verdana" w:cs="Verdana" w:eastAsia="Verdana" w:hAnsi="Verdana"/>
          <w:sz w:val="20"/>
          <w:szCs w:val="20"/>
          <w:rtl w:val="0"/>
        </w:rPr>
        <w:t xml:space="preserve"> available in three elegant finishes: satin gold, glossy dark chrome, and antique bronze. This lineup is further enhanced by the </w:t>
      </w:r>
      <w:r w:rsidDel="00000000" w:rsidR="00000000" w:rsidRPr="00000000">
        <w:rPr>
          <w:rFonts w:ascii="Verdana" w:cs="Verdana" w:eastAsia="Verdana" w:hAnsi="Verdana"/>
          <w:b w:val="1"/>
          <w:bCs w:val="1"/>
          <w:sz w:val="20"/>
          <w:szCs w:val="20"/>
          <w:rtl w:val="0"/>
        </w:rPr>
        <w:t xml:space="preserve">Smart New Style 44 ultra-thin metal front plates</w:t>
      </w:r>
      <w:r w:rsidDel="00000000" w:rsidR="00000000" w:rsidRPr="00000000">
        <w:rPr>
          <w:rFonts w:ascii="Verdana" w:cs="Verdana" w:eastAsia="Verdana" w:hAnsi="Verdana"/>
          <w:sz w:val="20"/>
          <w:szCs w:val="20"/>
          <w:rtl w:val="0"/>
        </w:rPr>
        <w:t xml:space="preserve">, which boast a thickness of just 4.5 mm, alongside an </w:t>
      </w:r>
      <w:r w:rsidDel="00000000" w:rsidR="00000000" w:rsidRPr="00000000">
        <w:rPr>
          <w:rFonts w:ascii="Verdana" w:cs="Verdana" w:eastAsia="Verdana" w:hAnsi="Verdana"/>
          <w:b w:val="1"/>
          <w:bCs w:val="1"/>
          <w:sz w:val="20"/>
          <w:szCs w:val="20"/>
          <w:rtl w:val="0"/>
        </w:rPr>
        <w:t xml:space="preserve">expanded New Style 44 aluminum range</w:t>
      </w:r>
      <w:r w:rsidDel="00000000" w:rsidR="00000000" w:rsidRPr="00000000">
        <w:rPr>
          <w:rFonts w:ascii="Verdana" w:cs="Verdana" w:eastAsia="Verdana" w:hAnsi="Verdana"/>
          <w:sz w:val="20"/>
          <w:szCs w:val="20"/>
          <w:rtl w:val="0"/>
        </w:rPr>
        <w:t xml:space="preserve"> that now features new brushed-effect shades in natural aluminum and anthracite.</w:t>
      </w:r>
    </w:p>
    <w:p w:rsidR="00000000" w:rsidDel="00000000" w:rsidP="00000000" w:rsidRDefault="00000000" w:rsidRPr="00000000" w14:paraId="00000005">
      <w:pPr>
        <w:spacing w:after="280" w:before="280" w:lineRule="auto"/>
        <w:ind w:left="0" w:firstLine="0"/>
        <w:jc w:val="both"/>
        <w:rPr>
          <w:rFonts w:ascii="Verdana" w:cs="Verdana" w:eastAsia="Verdana" w:hAnsi="Verdana"/>
          <w:sz w:val="20"/>
          <w:szCs w:val="20"/>
        </w:rPr>
      </w:pPr>
      <w:r w:rsidDel="00000000" w:rsidR="00000000" w:rsidRPr="00000000">
        <w:rPr>
          <w:rFonts w:ascii="Verdana" w:cs="Verdana" w:eastAsia="Verdana" w:hAnsi="Verdana"/>
          <w:b w:val="1"/>
          <w:bCs w:val="1"/>
          <w:rtl w:val="0"/>
        </w:rPr>
        <w:t xml:space="preserve">AVE toggle collections: a style for everyone</w:t>
      </w:r>
      <w:r w:rsidDel="00000000" w:rsidR="00000000" w:rsidRPr="00000000">
        <w:rPr>
          <w:rFonts w:ascii="Verdana" w:cs="Verdana" w:eastAsia="Verdana" w:hAnsi="Verdana"/>
          <w:sz w:val="20"/>
          <w:szCs w:val="20"/>
          <w:rtl w:val="0"/>
        </w:rPr>
        <w:br w:type="textWrapping"/>
        <w:t xml:space="preserve">The </w:t>
      </w:r>
      <w:r w:rsidDel="00000000" w:rsidR="00000000" w:rsidRPr="00000000">
        <w:rPr>
          <w:rFonts w:ascii="Verdana" w:cs="Verdana" w:eastAsia="Verdana" w:hAnsi="Verdana"/>
          <w:b w:val="1"/>
          <w:bCs w:val="1"/>
          <w:sz w:val="20"/>
          <w:szCs w:val="20"/>
          <w:rtl w:val="0"/>
        </w:rPr>
        <w:t xml:space="preserve">AVE toggle switch collections</w:t>
      </w:r>
      <w:r w:rsidDel="00000000" w:rsidR="00000000" w:rsidRPr="00000000">
        <w:rPr>
          <w:rFonts w:ascii="Verdana" w:cs="Verdana" w:eastAsia="Verdana" w:hAnsi="Verdana"/>
          <w:sz w:val="20"/>
          <w:szCs w:val="20"/>
          <w:rtl w:val="0"/>
        </w:rPr>
        <w:t xml:space="preserve"> cater to any requirement, offering diverse materials, finishes, and design options—each unique, yet sharing the same meticulous attention to detail:</w:t>
      </w:r>
    </w:p>
    <w:p w:rsidR="00000000" w:rsidDel="00000000" w:rsidP="00000000" w:rsidRDefault="00000000" w:rsidRPr="00000000" w14:paraId="00000006">
      <w:pPr>
        <w:numPr>
          <w:ilvl w:val="0"/>
          <w:numId w:val="1"/>
        </w:numPr>
        <w:spacing w:after="0" w:afterAutospacing="0" w:before="240" w:lineRule="auto"/>
        <w:ind w:left="425.19685039370086"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Smart New Style 44 in metal:</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iCs w:val="1"/>
          <w:sz w:val="20"/>
          <w:szCs w:val="20"/>
          <w:rtl w:val="0"/>
        </w:rPr>
        <w:t xml:space="preserve">ultra-thin and minimal.</w:t>
      </w:r>
      <w:r w:rsidDel="00000000" w:rsidR="00000000" w:rsidRPr="00000000">
        <w:rPr>
          <w:rFonts w:ascii="Verdana" w:cs="Verdana" w:eastAsia="Verdana" w:hAnsi="Verdana"/>
          <w:sz w:val="20"/>
          <w:szCs w:val="20"/>
          <w:rtl w:val="0"/>
        </w:rPr>
        <w:t xml:space="preserve"> Made of reduced-thickness metal, available in white, grey, and bronze (all with a matt finish).</w:t>
      </w:r>
    </w:p>
    <w:p w:rsidR="00000000" w:rsidDel="00000000" w:rsidP="00000000" w:rsidRDefault="00000000" w:rsidRPr="00000000" w14:paraId="00000007">
      <w:pPr>
        <w:numPr>
          <w:ilvl w:val="0"/>
          <w:numId w:val="1"/>
        </w:numPr>
        <w:spacing w:after="0" w:afterAutospacing="0" w:before="0" w:beforeAutospacing="0" w:lineRule="auto"/>
        <w:ind w:left="425.19685039370086"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New Style 44 in Corian®:</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iCs w:val="1"/>
          <w:sz w:val="20"/>
          <w:szCs w:val="20"/>
          <w:rtl w:val="0"/>
        </w:rPr>
        <w:t xml:space="preserve">a contemporary evolution for unconventional spaces.</w:t>
      </w:r>
      <w:r w:rsidDel="00000000" w:rsidR="00000000" w:rsidRPr="00000000">
        <w:rPr>
          <w:rFonts w:ascii="Verdana" w:cs="Verdana" w:eastAsia="Verdana" w:hAnsi="Verdana"/>
          <w:sz w:val="20"/>
          <w:szCs w:val="20"/>
          <w:rtl w:val="0"/>
        </w:rPr>
        <w:t xml:space="preserve"> White Corian® defines simple, essential geometries.</w:t>
      </w:r>
    </w:p>
    <w:p w:rsidR="00000000" w:rsidDel="00000000" w:rsidP="00000000" w:rsidRDefault="00000000" w:rsidRPr="00000000" w14:paraId="00000008">
      <w:pPr>
        <w:numPr>
          <w:ilvl w:val="0"/>
          <w:numId w:val="1"/>
        </w:numPr>
        <w:spacing w:after="0" w:afterAutospacing="0" w:before="0" w:beforeAutospacing="0" w:lineRule="auto"/>
        <w:ind w:left="425.19685039370086"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New Style 44 in aluminum:</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iCs w:val="1"/>
          <w:sz w:val="20"/>
          <w:szCs w:val="20"/>
          <w:rtl w:val="0"/>
        </w:rPr>
        <w:t xml:space="preserve">lightweight, exclusive, and durable.</w:t>
      </w:r>
      <w:r w:rsidDel="00000000" w:rsidR="00000000" w:rsidRPr="00000000">
        <w:rPr>
          <w:rFonts w:ascii="Verdana" w:cs="Verdana" w:eastAsia="Verdana" w:hAnsi="Verdana"/>
          <w:sz w:val="20"/>
          <w:szCs w:val="20"/>
          <w:rtl w:val="0"/>
        </w:rPr>
        <w:t xml:space="preserve"> Pure design in natural brushed aluminum, anthracite, gold, bronze, and antique bronze.</w:t>
      </w:r>
    </w:p>
    <w:p w:rsidR="00000000" w:rsidDel="00000000" w:rsidP="00000000" w:rsidRDefault="00000000" w:rsidRPr="00000000" w14:paraId="00000009">
      <w:pPr>
        <w:numPr>
          <w:ilvl w:val="0"/>
          <w:numId w:val="1"/>
        </w:numPr>
        <w:spacing w:after="0" w:afterAutospacing="0" w:before="0" w:beforeAutospacing="0" w:lineRule="auto"/>
        <w:ind w:left="425.19685039370086"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New Style 44 in glass:</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iCs w:val="1"/>
          <w:sz w:val="20"/>
          <w:szCs w:val="20"/>
          <w:rtl w:val="0"/>
        </w:rPr>
        <w:t xml:space="preserve">modernity in a reflection.</w:t>
      </w:r>
      <w:r w:rsidDel="00000000" w:rsidR="00000000" w:rsidRPr="00000000">
        <w:rPr>
          <w:rFonts w:ascii="Verdana" w:cs="Verdana" w:eastAsia="Verdana" w:hAnsi="Verdana"/>
          <w:sz w:val="20"/>
          <w:szCs w:val="20"/>
          <w:rtl w:val="0"/>
        </w:rPr>
        <w:t xml:space="preserve"> Glass highlights the toggle controls with two glossy finish variants (black and white).</w:t>
      </w:r>
    </w:p>
    <w:p w:rsidR="00000000" w:rsidDel="00000000" w:rsidP="00000000" w:rsidRDefault="00000000" w:rsidRPr="00000000" w14:paraId="0000000A">
      <w:pPr>
        <w:numPr>
          <w:ilvl w:val="0"/>
          <w:numId w:val="1"/>
        </w:numPr>
        <w:spacing w:after="240" w:before="0" w:beforeAutospacing="0" w:lineRule="auto"/>
        <w:ind w:left="425.19685039370086"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England Style 44 in wood:</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iCs w:val="1"/>
          <w:sz w:val="20"/>
          <w:szCs w:val="20"/>
          <w:rtl w:val="0"/>
        </w:rPr>
        <w:t xml:space="preserve">the classic becomes eternal.</w:t>
      </w:r>
      <w:r w:rsidDel="00000000" w:rsidR="00000000" w:rsidRPr="00000000">
        <w:rPr>
          <w:rFonts w:ascii="Verdana" w:cs="Verdana" w:eastAsia="Verdana" w:hAnsi="Verdana"/>
          <w:sz w:val="20"/>
          <w:szCs w:val="20"/>
          <w:rtl w:val="0"/>
        </w:rPr>
        <w:t xml:space="preserve"> Perfect for enhancing historic villas and prestigious environments thanks to the authentic charm of walnut wood.</w:t>
      </w:r>
      <w:r w:rsidDel="00000000" w:rsidR="00000000" w:rsidRPr="00000000">
        <w:rPr>
          <w:rtl w:val="0"/>
        </w:rPr>
      </w:r>
    </w:p>
    <w:p w:rsidR="00000000" w:rsidDel="00000000" w:rsidP="00000000" w:rsidRDefault="00000000" w:rsidRPr="00000000" w14:paraId="0000000B">
      <w:pPr>
        <w:spacing w:after="280" w:before="280" w:lineRule="auto"/>
        <w:ind w:left="0" w:firstLine="0"/>
        <w:jc w:val="both"/>
        <w:rPr>
          <w:rFonts w:ascii="Verdana" w:cs="Verdana" w:eastAsia="Verdana" w:hAnsi="Verdana"/>
          <w:sz w:val="20"/>
          <w:szCs w:val="20"/>
        </w:rPr>
      </w:pPr>
      <w:r w:rsidDel="00000000" w:rsidR="00000000" w:rsidRPr="00000000">
        <w:rPr>
          <w:rFonts w:ascii="Verdana" w:cs="Verdana" w:eastAsia="Verdana" w:hAnsi="Verdana"/>
          <w:b w:val="1"/>
          <w:bCs w:val="1"/>
          <w:rtl w:val="0"/>
        </w:rPr>
        <w:t xml:space="preserve">A contemporary evolution, international by nature</w:t>
      </w:r>
      <w:r w:rsidDel="00000000" w:rsidR="00000000" w:rsidRPr="00000000">
        <w:rPr>
          <w:rFonts w:ascii="Verdana" w:cs="Verdana" w:eastAsia="Verdana" w:hAnsi="Verdana"/>
          <w:b w:val="1"/>
          <w:bCs w:val="1"/>
          <w:sz w:val="20"/>
          <w:szCs w:val="20"/>
          <w:rtl w:val="0"/>
        </w:rPr>
        <w:br w:type="textWrapping"/>
      </w:r>
      <w:r w:rsidDel="00000000" w:rsidR="00000000" w:rsidRPr="00000000">
        <w:rPr>
          <w:rFonts w:ascii="Verdana" w:cs="Verdana" w:eastAsia="Verdana" w:hAnsi="Verdana"/>
          <w:sz w:val="20"/>
          <w:szCs w:val="20"/>
          <w:rtl w:val="0"/>
        </w:rPr>
        <w:t xml:space="preserve">Today, </w:t>
      </w:r>
      <w:r w:rsidDel="00000000" w:rsidR="00000000" w:rsidRPr="00000000">
        <w:rPr>
          <w:rFonts w:ascii="Verdana" w:cs="Verdana" w:eastAsia="Verdana" w:hAnsi="Verdana"/>
          <w:b w:val="1"/>
          <w:bCs w:val="1"/>
          <w:sz w:val="20"/>
          <w:szCs w:val="20"/>
          <w:rtl w:val="0"/>
        </w:rPr>
        <w:t xml:space="preserve">toggle switches </w:t>
      </w:r>
      <w:r w:rsidDel="00000000" w:rsidR="00000000" w:rsidRPr="00000000">
        <w:rPr>
          <w:rFonts w:ascii="Verdana" w:cs="Verdana" w:eastAsia="Verdana" w:hAnsi="Verdana"/>
          <w:sz w:val="20"/>
          <w:szCs w:val="20"/>
          <w:rtl w:val="0"/>
        </w:rPr>
        <w:t xml:space="preserve">are a true contemporary must-have to elevate electrical systems. The perfect synergy between reliability, technological innovation, and cutting-edge aesthetics makes AVE collections the ideal choice for both industry professionals and interior designers. Thanks to the </w:t>
      </w:r>
      <w:r w:rsidDel="00000000" w:rsidR="00000000" w:rsidRPr="00000000">
        <w:rPr>
          <w:rFonts w:ascii="Verdana" w:cs="Verdana" w:eastAsia="Verdana" w:hAnsi="Verdana"/>
          <w:b w:val="1"/>
          <w:bCs w:val="1"/>
          <w:sz w:val="20"/>
          <w:szCs w:val="20"/>
          <w:rtl w:val="0"/>
        </w:rPr>
        <w:t xml:space="preserve">wide availability of formats, customizations, and configurations</w:t>
      </w:r>
      <w:r w:rsidDel="00000000" w:rsidR="00000000" w:rsidRPr="00000000">
        <w:rPr>
          <w:rFonts w:ascii="Verdana" w:cs="Verdana" w:eastAsia="Verdana" w:hAnsi="Verdana"/>
          <w:sz w:val="20"/>
          <w:szCs w:val="20"/>
          <w:rtl w:val="0"/>
        </w:rPr>
        <w:t xml:space="preserve">, the range easily satisfies diverse market demands and various international standards with dedicated, matching sockets and accessories—confirming its place as a prestigious style statement for homes, offices, and the hospitality sector.</w:t>
      </w:r>
      <w:r w:rsidDel="00000000" w:rsidR="00000000" w:rsidRPr="00000000">
        <w:rPr>
          <w:rtl w:val="0"/>
        </w:rPr>
      </w:r>
    </w:p>
    <w:p w:rsidR="00000000" w:rsidDel="00000000" w:rsidP="00000000" w:rsidRDefault="00000000" w:rsidRPr="00000000" w14:paraId="0000000C">
      <w:pPr>
        <w:spacing w:after="2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br w:type="textWrapping"/>
        <w:t xml:space="preserve">Rezzato, July 9, 2026</w:t>
        <w:tab/>
      </w:r>
    </w:p>
    <w:sectPr>
      <w:headerReference r:id="rId7" w:type="default"/>
      <w:footerReference r:id="rId8" w:type="default"/>
      <w:pgSz w:h="1682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hyperlink r:id="rId1">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www.ave.it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tabs>
        <w:tab w:val="left" w:leader="none" w:pos="960"/>
      </w:tabs>
      <w:rPr/>
    </w:pPr>
    <w:r w:rsidDel="00000000" w:rsidR="00000000" w:rsidRPr="00000000">
      <w:rPr/>
      <w:drawing>
        <wp:inline distB="0" distT="0" distL="0" distR="0">
          <wp:extent cx="1828800" cy="762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762000"/>
                  </a:xfrm>
                  <a:prstGeom prst="rect"/>
                  <a:ln/>
                </pic:spPr>
              </pic:pic>
            </a:graphicData>
          </a:graphic>
        </wp:inline>
      </w:drawing>
    </w:r>
    <w:r w:rsidDel="00000000" w:rsidR="00000000" w:rsidRPr="00000000">
      <w:rPr>
        <w:rtl w:val="0"/>
      </w:rPr>
      <w:tab/>
      <w:tab/>
    </w:r>
    <w:r w:rsidDel="00000000" w:rsidR="00000000" w:rsidRPr="00000000">
      <w:drawing>
        <wp:anchor allowOverlap="1" behindDoc="0" distB="0" distT="0" distL="114935" distR="114935" hidden="0" layoutInCell="1" locked="0" relativeHeight="0" simplePos="0">
          <wp:simplePos x="0" y="0"/>
          <wp:positionH relativeFrom="column">
            <wp:posOffset>2976245</wp:posOffset>
          </wp:positionH>
          <wp:positionV relativeFrom="paragraph">
            <wp:posOffset>295275</wp:posOffset>
          </wp:positionV>
          <wp:extent cx="2900045" cy="308610"/>
          <wp:effectExtent b="0" l="0" r="0" t="0"/>
          <wp:wrapSquare wrapText="bothSides" distB="0" distT="0" distL="114935" distR="114935"/>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900045" cy="308610"/>
                  </a:xfrm>
                  <a:prstGeom prst="rect"/>
                  <a:ln/>
                </pic:spPr>
              </pic:pic>
            </a:graphicData>
          </a:graphic>
        </wp:anchor>
      </w:drawing>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366091"/>
    </w:rPr>
  </w:style>
  <w:style w:type="paragraph" w:styleId="Heading5">
    <w:name w:val="heading 5"/>
    <w:basedOn w:val="Normal"/>
    <w:next w:val="Normal"/>
    <w:pPr/>
    <w:rPr>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nQ5TyiP6Gu58lCD1wtnPDuuKhg==">CgMxLjA4AHIhMVg5MTA2d05yeTJKVG9HS0VObGNaQzh5LTlnem1FWnFY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